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280" w:right="140" w:hanging="3006"/>
        <w:spacing w:after="0" w:line="396" w:lineRule="auto"/>
        <w:tabs>
          <w:tab w:leader="none" w:pos="88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75" w:lineRule="exact"/>
        <w:rPr>
          <w:sz w:val="24"/>
          <w:szCs w:val="24"/>
          <w:color w:val="auto"/>
        </w:rPr>
      </w:pPr>
    </w:p>
    <w:p>
      <w:pPr>
        <w:ind w:left="880" w:hanging="606"/>
        <w:spacing w:after="0"/>
        <w:tabs>
          <w:tab w:leader="none" w:pos="8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06" w:lineRule="exact"/>
        <w:rPr>
          <w:sz w:val="24"/>
          <w:szCs w:val="24"/>
          <w:color w:val="auto"/>
        </w:rPr>
      </w:pPr>
    </w:p>
    <w:p>
      <w:pPr>
        <w:ind w:left="378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001-41742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136525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4" w:lineRule="exact"/>
        <w:rPr>
          <w:sz w:val="24"/>
          <w:szCs w:val="24"/>
          <w:color w:val="auto"/>
        </w:rPr>
      </w:pPr>
    </w:p>
    <w:tbl>
      <w:tblPr>
        <w:tblLayout w:type="fixed"/>
        <w:tblInd w:w="1460" w:type="dxa"/>
        <w:tblCellMar>
          <w:top w:w="0" w:type="dxa"/>
          <w:left w:w="0" w:type="dxa"/>
          <w:bottom w:w="0" w:type="dxa"/>
          <w:right w:w="0" w:type="dxa"/>
        </w:tblCellMar>
      </w:tblPr>
      <w:tr>
        <w:trPr>
          <w:trHeight w:val="303"/>
        </w:trPr>
        <w:tc>
          <w:tcPr>
            <w:tcW w:w="5440" w:type="dxa"/>
            <w:vAlign w:val="bottom"/>
            <w:gridSpan w:val="3"/>
          </w:tcPr>
          <w:p>
            <w:pPr>
              <w:jc w:val="center"/>
              <w:ind w:left="1783"/>
              <w:spacing w:after="0"/>
              <w:rPr>
                <w:sz w:val="20"/>
                <w:szCs w:val="20"/>
                <w:color w:val="auto"/>
              </w:rPr>
            </w:pPr>
            <w:r>
              <w:rPr>
                <w:rFonts w:ascii="Times New Roman" w:cs="Times New Roman" w:eastAsia="Times New Roman" w:hAnsi="Times New Roman"/>
                <w:sz w:val="25"/>
                <w:szCs w:val="25"/>
                <w:b w:val="1"/>
                <w:bCs w:val="1"/>
                <w:color w:val="auto"/>
              </w:rPr>
              <w:t>Sagimet Biosciences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3"/>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20-5991472</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6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155 Bovet Road, Suite 303</w:t>
            </w:r>
          </w:p>
        </w:tc>
        <w:tc>
          <w:tcPr>
            <w:tcW w:w="13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94402</w:t>
            </w:r>
          </w:p>
        </w:tc>
        <w:tc>
          <w:tcPr>
            <w:tcW w:w="0" w:type="dxa"/>
            <w:vAlign w:val="bottom"/>
          </w:tcPr>
          <w:p>
            <w:pPr>
              <w:spacing w:after="0"/>
              <w:rPr>
                <w:sz w:val="1"/>
                <w:szCs w:val="1"/>
                <w:color w:val="auto"/>
              </w:rPr>
            </w:pPr>
          </w:p>
        </w:tc>
      </w:tr>
      <w:tr>
        <w:trPr>
          <w:trHeight w:val="150"/>
        </w:trPr>
        <w:tc>
          <w:tcPr>
            <w:tcW w:w="5440" w:type="dxa"/>
            <w:vAlign w:val="bottom"/>
            <w:gridSpan w:val="3"/>
          </w:tcPr>
          <w:p>
            <w:pPr>
              <w:jc w:val="center"/>
              <w:ind w:right="3160"/>
              <w:spacing w:after="0" w:line="151" w:lineRule="exact"/>
              <w:rPr>
                <w:sz w:val="20"/>
                <w:szCs w:val="20"/>
                <w:color w:val="auto"/>
              </w:rPr>
            </w:pPr>
            <w:r>
              <w:rPr>
                <w:rFonts w:ascii="Times New Roman" w:cs="Times New Roman" w:eastAsia="Times New Roman" w:hAnsi="Times New Roman"/>
                <w:sz w:val="14"/>
                <w:szCs w:val="14"/>
                <w:b w:val="1"/>
                <w:bCs w:val="1"/>
                <w:color w:val="auto"/>
              </w:rPr>
              <w:t>San Mateo, California</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57"/>
        </w:trPr>
        <w:tc>
          <w:tcPr>
            <w:tcW w:w="4920" w:type="dxa"/>
            <w:vAlign w:val="bottom"/>
            <w:gridSpan w:val="2"/>
          </w:tcPr>
          <w:p>
            <w:pPr>
              <w:jc w:val="center"/>
              <w:ind w:left="2303"/>
              <w:spacing w:after="0"/>
              <w:rPr>
                <w:sz w:val="20"/>
                <w:szCs w:val="20"/>
                <w:color w:val="auto"/>
              </w:rPr>
            </w:pPr>
            <w:r>
              <w:rPr>
                <w:rFonts w:ascii="Times New Roman" w:cs="Times New Roman" w:eastAsia="Times New Roman" w:hAnsi="Times New Roman"/>
                <w:sz w:val="14"/>
                <w:szCs w:val="14"/>
                <w:b w:val="1"/>
                <w:bCs w:val="1"/>
                <w:color w:val="auto"/>
              </w:rPr>
              <w:t>(650) 561-8600</w:t>
            </w: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116205</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80"/>
          </w:cols>
          <w:pgMar w:left="840" w:top="661" w:right="879" w:bottom="1440" w:gutter="0" w:footer="0" w:header="0"/>
        </w:sectPr>
      </w:pPr>
    </w:p>
    <w:p>
      <w:pPr>
        <w:spacing w:after="0" w:line="10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Series A 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color w:val="auto"/>
        </w:rPr>
        <w:t>SGMT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Nasdaq Global Market</w:t>
      </w:r>
    </w:p>
    <w:p>
      <w:pPr>
        <w:spacing w:after="0" w:line="1" w:lineRule="exact"/>
        <w:rPr>
          <w:sz w:val="24"/>
          <w:szCs w:val="24"/>
          <w:color w:val="auto"/>
        </w:rPr>
      </w:pPr>
    </w:p>
    <w:p>
      <w:pPr>
        <w:sectPr>
          <w:pgSz w:w="11900" w:h="16838" w:orient="portrait"/>
          <w:cols w:equalWidth="0" w:num="3">
            <w:col w:w="3520" w:space="720"/>
            <w:col w:w="1900" w:space="720"/>
            <w:col w:w="3320"/>
          </w:cols>
          <w:pgMar w:left="840" w:top="661" w:right="879" w:bottom="1440" w:gutter="0" w:footer="0" w:header="0"/>
          <w:type w:val="continuous"/>
        </w:sectPr>
      </w:pPr>
    </w:p>
    <w:p>
      <w:pPr>
        <w:ind w:left="900"/>
        <w:spacing w:after="0" w:line="238" w:lineRule="auto"/>
        <w:rPr>
          <w:sz w:val="20"/>
          <w:szCs w:val="20"/>
          <w:color w:val="auto"/>
        </w:rPr>
      </w:pPr>
      <w:r>
        <w:rPr>
          <w:rFonts w:ascii="Times New Roman" w:cs="Times New Roman" w:eastAsia="Times New Roman" w:hAnsi="Times New Roman"/>
          <w:sz w:val="14"/>
          <w:szCs w:val="14"/>
          <w:color w:val="auto"/>
        </w:rPr>
        <w:t>$0.0001 par value per share</w:t>
      </w:r>
    </w:p>
    <w:p>
      <w:pPr>
        <w:sectPr>
          <w:pgSz w:w="11900" w:h="16838" w:orient="portrait"/>
          <w:cols w:equalWidth="0" w:num="1">
            <w:col w:w="10180"/>
          </w:cols>
          <w:pgMar w:left="840" w:top="661" w:right="879" w:bottom="1440" w:gutter="0" w:footer="0" w:header="0"/>
          <w:type w:val="continuous"/>
        </w:sectPr>
      </w:pPr>
    </w:p>
    <w:p>
      <w:pPr>
        <w:spacing w:after="0" w:line="109" w:lineRule="exact"/>
        <w:rPr>
          <w:sz w:val="24"/>
          <w:szCs w:val="24"/>
          <w:color w:val="auto"/>
        </w:rPr>
      </w:pPr>
    </w:p>
    <w:p>
      <w:pPr>
        <w:jc w:val="center"/>
        <w:ind w:lef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jc w:val="center"/>
        <w:ind w:lef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center"/>
        <w:ind w:left="8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40" w:top="661" w:right="879" w:bottom="1440" w:gutter="0" w:footer="0" w:header="0"/>
          <w:type w:val="continuous"/>
        </w:sectPr>
      </w:pPr>
    </w:p>
    <w:p>
      <w:pPr>
        <w:spacing w:after="0" w:line="24" w:lineRule="exact"/>
        <w:rPr>
          <w:sz w:val="24"/>
          <w:szCs w:val="24"/>
          <w:color w:val="auto"/>
        </w:rPr>
      </w:pPr>
    </w:p>
    <w:p>
      <w:pPr>
        <w:ind w:left="18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6380" w:space="720"/>
            <w:col w:w="3080"/>
          </w:cols>
          <w:pgMar w:left="840" w:top="661" w:right="879" w:bottom="1440" w:gutter="0" w:footer="0" w:header="0"/>
          <w:type w:val="continuous"/>
        </w:sectPr>
      </w:pPr>
    </w:p>
    <w:p>
      <w:pPr>
        <w:ind w:left="18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6080" w:space="720"/>
            <w:col w:w="3380"/>
          </w:cols>
          <w:pgMar w:left="840" w:top="661" w:right="879" w:bottom="1440" w:gutter="0" w:footer="0" w:header="0"/>
          <w:type w:val="continuous"/>
        </w:sectPr>
      </w:pPr>
    </w:p>
    <w:p>
      <w:pPr>
        <w:ind w:left="68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180"/>
          </w:cols>
          <w:pgMar w:left="840" w:top="661" w:right="879" w:bottom="1440" w:gutter="0" w:footer="0" w:header="0"/>
          <w:type w:val="continuous"/>
        </w:sectPr>
      </w:pPr>
    </w:p>
    <w:p>
      <w:pPr>
        <w:spacing w:after="0" w:line="181" w:lineRule="exact"/>
        <w:rPr>
          <w:sz w:val="24"/>
          <w:szCs w:val="24"/>
          <w:color w:val="auto"/>
        </w:rPr>
      </w:pPr>
    </w:p>
    <w:p>
      <w:pPr>
        <w:jc w:val="center"/>
        <w:ind w:left="9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Series A and B common stock, $0.0001 par value per share, outstanding at May 5, 2026 was 61,184,313 and 567,494,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521970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110490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144780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40" w:top="661" w:right="8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777"/>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4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Page</w:t>
            </w:r>
          </w:p>
        </w:tc>
      </w:tr>
      <w:tr>
        <w:trPr>
          <w:trHeight w:val="37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24"/>
                <w:szCs w:val="24"/>
                <w:color w:val="auto"/>
              </w:rPr>
            </w:pPr>
          </w:p>
        </w:tc>
        <w:tc>
          <w:tcPr>
            <w:tcW w:w="2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Financial Statements</w:t>
            </w:r>
          </w:p>
        </w:tc>
        <w:tc>
          <w:tcPr>
            <w:tcW w:w="508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Balance Sheets (unaudited)</w:t>
            </w:r>
          </w:p>
        </w:tc>
        <w:tc>
          <w:tcPr>
            <w:tcW w:w="4620" w:type="dxa"/>
            <w:vAlign w:val="bottom"/>
            <w:gridSpan w:val="8"/>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and Comprehensive Loss (unaudited)</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Stockholders’ Equity (unaudited)</w:t>
            </w:r>
          </w:p>
        </w:tc>
        <w:tc>
          <w:tcPr>
            <w:tcW w:w="1120" w:type="dxa"/>
            <w:vAlign w:val="bottom"/>
            <w:tcBorders>
              <w:top w:val="single" w:sz="8" w:color="0000EE"/>
            </w:tcBorders>
            <w:gridSpan w:val="3"/>
          </w:tcPr>
          <w:p>
            <w:pPr>
              <w:spacing w:after="0"/>
              <w:rPr>
                <w:sz w:val="17"/>
                <w:szCs w:val="17"/>
                <w:color w:val="auto"/>
              </w:rPr>
            </w:pPr>
          </w:p>
        </w:tc>
        <w:tc>
          <w:tcPr>
            <w:tcW w:w="2040" w:type="dxa"/>
            <w:vAlign w:val="bottom"/>
            <w:gridSpan w:val="2"/>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Cash Flows (unaudited)</w:t>
            </w:r>
          </w:p>
        </w:tc>
        <w:tc>
          <w:tcPr>
            <w:tcW w:w="3840" w:type="dxa"/>
            <w:vAlign w:val="bottom"/>
            <w:gridSpan w:val="7"/>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Financial Statements (unaudited)</w:t>
            </w:r>
          </w:p>
        </w:tc>
        <w:tc>
          <w:tcPr>
            <w:tcW w:w="3560" w:type="dxa"/>
            <w:vAlign w:val="bottom"/>
            <w:gridSpan w:val="6"/>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7"/>
                <w:szCs w:val="17"/>
                <w:color w:val="auto"/>
              </w:rPr>
            </w:pP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660" w:type="dxa"/>
            <w:vAlign w:val="bottom"/>
            <w:gridSpan w:val="11"/>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480" w:type="dxa"/>
            <w:vAlign w:val="bottom"/>
            <w:tcBorders>
              <w:top w:val="single" w:sz="8" w:color="0000EE"/>
            </w:tcBorders>
            <w:gridSpan w:val="4"/>
          </w:tcPr>
          <w:p>
            <w:pPr>
              <w:spacing w:after="0"/>
              <w:rPr>
                <w:sz w:val="24"/>
                <w:szCs w:val="24"/>
                <w:color w:val="auto"/>
              </w:rPr>
            </w:pPr>
          </w:p>
        </w:tc>
        <w:tc>
          <w:tcPr>
            <w:tcW w:w="4620" w:type="dxa"/>
            <w:vAlign w:val="bottom"/>
            <w:gridSpan w:val="8"/>
          </w:tcPr>
          <w:p>
            <w:pPr>
              <w:spacing w:after="0"/>
              <w:rPr>
                <w:sz w:val="24"/>
                <w:szCs w:val="24"/>
                <w:color w:val="auto"/>
              </w:rPr>
            </w:pPr>
          </w:p>
        </w:tc>
        <w:tc>
          <w:tcPr>
            <w:tcW w:w="1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080" w:type="dxa"/>
            <w:vAlign w:val="bottom"/>
            <w:gridSpan w:val="4"/>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7"/>
                <w:szCs w:val="17"/>
                <w:color w:val="auto"/>
              </w:rPr>
            </w:pP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17"/>
                <w:szCs w:val="17"/>
                <w:color w:val="auto"/>
              </w:rPr>
            </w:pPr>
          </w:p>
        </w:tc>
        <w:tc>
          <w:tcPr>
            <w:tcW w:w="5120" w:type="dxa"/>
            <w:vAlign w:val="bottom"/>
            <w:gridSpan w:val="10"/>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120" w:type="dxa"/>
            <w:vAlign w:val="bottom"/>
            <w:gridSpan w:val="13"/>
          </w:tcPr>
          <w:p>
            <w:pPr>
              <w:spacing w:after="0"/>
              <w:rPr>
                <w:sz w:val="17"/>
                <w:szCs w:val="17"/>
                <w:color w:val="auto"/>
              </w:rPr>
            </w:pP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7"/>
                <w:szCs w:val="17"/>
                <w:color w:val="auto"/>
              </w:rPr>
            </w:pP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80" w:type="dxa"/>
            <w:vAlign w:val="bottom"/>
            <w:gridSpan w:val="1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gridSpan w:val="2"/>
          </w:tcPr>
          <w:p>
            <w:pPr>
              <w:ind w:left="10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drug candidates, planned preclinical studies and clinical trials, results of preclinical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80"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marketable securities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denifanstat, TVB-3567 or any other drug candidates or combination therapies we may develop, and conducting preclinical studies and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 within anticipated timelines;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involved in obtaining and maintaining regulatory approval of denifanstat, TVB-3567 or any other drug candidates or combination therapies we may develop, and the timing or likelihood of regulatory filings and approvals, including our expectation to seek special designations or accelerated approvals for our drug candidates for various indications;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agreements with third parties in connection with the development and commercialization of denifanstat, TVB-3567 or any other future drug candidate or combination therapy;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number of patients in the United States who suffer from the diseases we target and the number of subjects that will enroll in our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Ascletis BioScience Co. Ltd. (Ascletis), and its affiliate Gannex Pharma Co., Ltd. (Gannex), and the success of their development and registration efforts for denifanstat in China;</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denifanstat, TVB-3567 and any other drug candidates or combination therapies we may develop;</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denifanstat, TVB-3567 and any other drug candidates or combination therapies we may develop, if approved, including the geographic areas of focus and our ability to build a commercial organization;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drug candidates and therapies;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denifanstat, TVB-3567 and any other drug candidates or combination therapies we may develop, including additional indications that we may pursue for denifanstat, TVB-3567 or other drug candidates or combination therapies;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non-dilutive funding or enter into a strategic collaboration to initiate future clinical trials for our combination of denifanstat and resmetirom in metabolic dysfunction-associated steatohepatitis (MASH), formerly known as nonalcoholic steatohepatitis (NASH);</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denifanstat, TVB-3567 and any other drug candidates or combination therapies we may develop for clinical trials and for commercial use, if approved;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denifanstat, TVB-3567 and any other drug candidates or combination therapies we may develop, as well as the pricing and reimbursement of denifanstat, TVB-3567 and any other drug candidates or combination therapies we may develop, if approved;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protect and enforce intellectual property protection for denifanstat, TVB-3567 and for any other future drug candidate or combination therapy;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any strategic transactions;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the continued service of our key personnel and to identify, hire, and then retain additional qualified personnel and our ability to attract additional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geopolitical turmoil on our business and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set forth in Part II, Item 1A “Risk Factors” in this Quarterly Report, the section titled “Risk Factors” set forth in Part I, Item 1A of our Annual Report on Form 10-K for the year ended December 31, 2025 and the section titled “Risk Factors” set forth in Part II, Item 1A of our subsequent Quarterly Reports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36,626</w:t>
            </w:r>
          </w:p>
        </w:tc>
        <w:tc>
          <w:tcPr>
            <w:tcW w:w="4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107,716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107,755</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4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Undesignated preferred stock, $0.0001 per share: 10,000,000 shares authorized; no shares issued</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outstanding at March 31, 2026 and December 31, 2025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A common stock, $0.0001 per share: 500,000,000 shares authorized; 32,017,613 shares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issued and outstanding at March 31, 2026; 31,954,105 shares issued and outstanding at December</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31, 2025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Series B common stock, $0.0001 per share: 15,000,000 shares authorized; 567,494 shares issued</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outstanding at March 31, 2026 and December 31, 2025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459,446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(356,999)</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102,458</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107,755</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0" w:type="dxa"/>
            <w:vAlign w:val="bottom"/>
          </w:tcPr>
          <w:p>
            <w:pPr>
              <w:ind w:left="72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Series A and Series B common stock outstanding,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Series A and Series B common stock outstanding, basic and 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2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32,559,704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32,195,345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STATEMENTS OF</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5"/>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Amount</w:t>
            </w:r>
          </w:p>
        </w:tc>
        <w:tc>
          <w:tcPr>
            <w:tcW w:w="1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Shares</w:t>
            </w:r>
          </w:p>
        </w:tc>
        <w:tc>
          <w:tcPr>
            <w:tcW w:w="5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1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31,954,105</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567,494</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457,607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(346,349)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common stock for vesting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63,508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32,017,613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567,494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459,446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(356,999)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102,458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Amount</w:t>
            </w:r>
          </w:p>
        </w:tc>
        <w:tc>
          <w:tcPr>
            <w:tcW w:w="1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Amount</w:t>
            </w:r>
          </w:p>
        </w:tc>
        <w:tc>
          <w:tcPr>
            <w:tcW w:w="1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3"/>
                <w:szCs w:val="13"/>
                <w:color w:val="auto"/>
              </w:rPr>
            </w:pPr>
          </w:p>
        </w:tc>
        <w:tc>
          <w:tcPr>
            <w:tcW w:w="1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40" w:type="dxa"/>
            <w:vAlign w:val="bottom"/>
          </w:tcPr>
          <w:p>
            <w:pPr>
              <w:spacing w:after="0"/>
              <w:rPr>
                <w:sz w:val="13"/>
                <w:szCs w:val="13"/>
                <w:color w:val="auto"/>
              </w:rPr>
            </w:pPr>
          </w:p>
        </w:tc>
        <w:tc>
          <w:tcPr>
            <w:tcW w:w="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60" w:type="dxa"/>
            <w:vAlign w:val="bottom"/>
            <w:tcBorders>
              <w:top w:val="single" w:sz="8" w:color="auto"/>
            </w:tcBorders>
            <w:gridSpan w:val="2"/>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30,674,855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gridSpan w:val="2"/>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9"/>
              </w:rPr>
              <w:t>1,520,490</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450,883</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(295,311)</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155,805</w:t>
            </w: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49"/>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(18,176)</w:t>
            </w: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60" w:type="dxa"/>
            <w:vAlign w:val="bottom"/>
            <w:tcBorders>
              <w:top w:val="single" w:sz="8" w:color="auto"/>
              <w:bottom w:val="single" w:sz="8" w:color="auto"/>
            </w:tcBorders>
            <w:gridSpan w:val="2"/>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30,674,855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9"/>
              </w:rPr>
              <w:t>1,520,490</w:t>
            </w: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452,355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(313,487)</w:t>
            </w: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138,992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80"/>
          </w:cols>
          <w:pgMar w:left="980" w:top="513"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on marketable securities,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financing costs within accounts payable and accrued expenses</w:t>
            </w:r>
          </w:p>
        </w:tc>
        <w:tc>
          <w:tcPr>
            <w:tcW w:w="11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 (unaudited)</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Sagimet Biosciences Inc. (the Company), a Delaware corporation headquartered in San Mateo, California, is a clinical-stage biopharmaceutical company developing novel therapeutics called fatty acid synthase (FASN) inhibitors that target dysfunctional metabolic and fibrotic pathways in diseases resulting from the overproduction of the fatty acid, palmitate. The Company’s lead drug candidate, denifanstat, is an oral once-daily pill and selective FASN inhibitor in development for the treatment of acne, metabolic dysfunction-associated steatohepatitis (MASH) and select forms of cancer. Denifanstat met all primary and secondary endpoints in a Phase 3 clinical trial in moderate to severe acne vulgaris conducted by the Company’s license partner, Ascletis BioScience Co. Ltd. (Ascletis), in China. Denifanstat also met all endpoints in Ascletis’ open-label Phase 3 clinical trial evaluating its long-term safety in patients with moderate to severe acne in China. The Company’s second FASN inhibitor, TVB-3567, is a potent and selective small molecule FASN inhibitor in development for acne, that is currently undergoing a first-in-human Phase 1 clinical trial.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(GAAP) in the United States. Any reference in these notes to applicable guidance is meant to refer to GAAP as found in the Accounting Standards Codification (ASC) and Accounting Standards Updates (ASU) promulgated by the Financial Accounting Standards Board (FASB).</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interim financial statements and accompanying notes should be read in conjunction with the Company’s annual financial statements and the notes thereto included in the Company’s Form 10-K, as filed with the Securities and Exchange Commission (SEC) on March 11, 2026. The accompanying interim financial statements as of March 31, 2026 and for the three months ended March 31, 2026 and 2025 are unaudited but include all adjustments that management believes to be necessary for a fair presentation of the periods presented. Interim results are not necessarily indicative of results for a full year. Balance sheet amounts as of December 31, 2025 have been derived from the audited financial statements as of that date.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as of the date of the financial statements and reported amounts of revenues and expenses during the reporting period. Such estimates include accruals of research and development expenses, accrued costs for services rendered under agreements with third-party contract research organizations (CROs) and stock option valuations and stock-based compensation.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Acts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those issued by companies that comply with the effective dates pursuant to public company FASB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assuming the Company will continue as a going concern, which contemplates continuity of operations, realization of assets and the satisfaction of liabilities and commitments in the normal course of business. The Company will require substantial additional capital to fund its research and development and ongoing operating expenses. As of March 31, 2026, the Company has relied on public and private equity and debt financings and proceeds from licensing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to fund its operations. The Company has incurred recurring losses and negative cash flows from operations since inception, and, as of March 31, 2026, had an accumulated deficit of $357.0 million and cash, cash equivalents and marketable securities of $104.5 million. The Company expects to incur additional losses and negative cash flows from operations for the foreseeable future.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a Controlled Equity Offering Sales Agreement with Cantor Fitzgerald &amp; Co. to establish an at-the-market offering (2024 ATM Offering) through which the Company could sell, from time to time at its sole discretion, up to $75.0 million shares of its Series A common stock. In connection with the establishment of the 2025 ATM Offering (as defined below), the Company terminated the 2024 ATM Offering. No shares of Series A common stock were sold under the 2024 ATM Offering prior to such termination.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2025, the Company entered into a Sales Agreement with Leerink Partners LLC to establish an at-the-market offering (2025 ATM Offering) through which the Company may sell, from time to time at its sole discretion, up to $75.0 million shares of its Series A common stock. There were no sales under the 2025 ATM Offering since inception.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March 31, 2026, together with the proceeds from the April 2026 underwritten offering of Series A common stock (refer to Note 9. Subsequent Events for further information), will be sufficient to fund the Company’s operating expenses for at least the next 12 months from the issuance of these financial statements. In the future, the Company will need to raise additional funds until it is able to generate sufficient revenues to fund its development activities. The Company’s future operating activities, coupled with its plans to raise capital or issue debt financing, may provide additional liquidity in the future, however these actions are not solely within the control of the Company, and the Company is unable to predict the outcome of these actions to generate the liquidity ultimately required.</w:t>
      </w:r>
    </w:p>
    <w:p>
      <w:pPr>
        <w:spacing w:after="0" w:line="18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and the notes thereto, which are included in the Company’s Annual Report on Form 10-K for the year ended December 31, 2025, as filed with the SEC on March 11, 2026. Since the date of those audited financial statements, there have been no material changes to the Company’s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Basic and diluted net loss per share is computed using the two-class method required for multiple classes of common stock and participating securities. The Company’s participating securities do not have a contractual obligation to share in the Company’s losses. As such, the net loss was attributed entirely to common stockholders for all periods presented. Basic net loss per common share attributable to common stockholders is calculated by dividing the net loss by the weighted-average number of common shares outstanding during the period, without consideration of potentially dilutive securities. Diluted net loss per share attributable to common stockholders is computed by dividing the net loss by the weighted-average number of common shares and potentially dilutive securities outstanding for the period. For purposes of the diluted net loss per share attributable to common stockholders’ calculation, common stock options, restricted stock units and common stock warrants are considered to be potentially dilutive securities. As the Company has reported a net loss for the periods presented, basic and diluted net loss per share attributable to common stockholders is the same as all potentially dilutive securities would have an anti-dilutive impact.</w:t>
      </w:r>
    </w:p>
    <w:p>
      <w:pPr>
        <w:spacing w:after="0" w:line="194"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three months ended March 31, 2026 and 2025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shares of Series A and Series B common stock outstanding,</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32,559,704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32,195,345</w:t>
            </w:r>
          </w:p>
        </w:tc>
        <w:tc>
          <w:tcPr>
            <w:tcW w:w="0" w:type="dxa"/>
            <w:vAlign w:val="bottom"/>
          </w:tcPr>
          <w:p>
            <w:pPr>
              <w:spacing w:after="0"/>
              <w:rPr>
                <w:sz w:val="1"/>
                <w:szCs w:val="1"/>
                <w:color w:val="auto"/>
              </w:rPr>
            </w:pPr>
          </w:p>
        </w:tc>
      </w:tr>
      <w:tr>
        <w:trPr>
          <w:trHeight w:val="261"/>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92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7"/>
                <w:szCs w:val="17"/>
                <w:color w:val="auto"/>
              </w:rPr>
              <w:t>Net loss per share of Series A and Series B common stock outstanding, basic</w:t>
            </w:r>
          </w:p>
        </w:tc>
        <w:tc>
          <w:tcPr>
            <w:tcW w:w="5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21"/>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58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Series A and Series B common stock outstanding, as their effect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vMerge w:val="continue"/>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Series A common stock</w:t>
            </w:r>
          </w:p>
        </w:tc>
        <w:tc>
          <w:tcPr>
            <w:tcW w:w="1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6,443,407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5,494,659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Series A common stock</w:t>
            </w:r>
          </w:p>
        </w:tc>
        <w:tc>
          <w:tcPr>
            <w:tcW w:w="1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1,127,109</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1,098,399</w:t>
            </w:r>
          </w:p>
        </w:tc>
        <w:tc>
          <w:tcPr>
            <w:tcW w:w="0" w:type="dxa"/>
            <w:vAlign w:val="bottom"/>
          </w:tcPr>
          <w:p>
            <w:pPr>
              <w:spacing w:after="0"/>
              <w:rPr>
                <w:sz w:val="1"/>
                <w:szCs w:val="1"/>
                <w:color w:val="auto"/>
              </w:rPr>
            </w:pPr>
          </w:p>
        </w:tc>
      </w:tr>
      <w:tr>
        <w:trPr>
          <w:trHeight w:val="21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7,571,516</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6,594,058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discussed below were assessed and either determined to be not applicable or expected to have a minimal impact on the Company’s financial statements.</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public business entities to disclose,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and annual reporting periods, additional information about certain income statement expense categories. ASU 2024-03 is effective for annual periods beginning after December 15, 2026, and interim reporting periods beginning after December 15, 2027. Early adoption is permitted and is effective on either a prospective basis or retrospective basis. The Company is currently evaluating the impact of the adoption of this standard on its financial statements and related disclosures.</w:t>
      </w:r>
    </w:p>
    <w:p>
      <w:pPr>
        <w:spacing w:after="0" w:line="19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three-tier fair value hierarchy for disclosure of fair value measurements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financial assets measured at fair value on a recurring basis consisted of cash equivalents and marketable securities. Cash equivalents consist primarily of money market funds and other investments that are readily convertible into cash and have maturities of three months or less at the time of acquisition. The fair value of cash equivalents was $36.3 million and $34.7 million as of March 31, 2026 and December 31, 2025, respectively. The Company considers marketable securities with maturities greater than three months at the time of acquisition to be available-for-sale securities. The fair value of available-for-sale securities was $67.9 million and $78.1 million as of March 31, 2026 and December 31, 2025, respectively. These available-for-sale securities have expected maturities ranging from 1.0 to 9.0 months. 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securities with unrealized losses, if any, to determine whether the decline in fair value has resulted from credit loss or other factors, including various qualitative factors. As of March 31, 2026, the Company has not recognized any impairment or credit losses on the Company’s available-for-sale securities. While the Company classifies these securities as available-for-sale, the Company does not intend to sell its investments and based on its current plans, the Company currently believes it has the ability to hold these investments until maturity.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payable and accrued expenses and other current liabilities approximate their fair values due to the short-term nature of these liabilities.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Level 3 liabilities that are measured at fair value on a recurring basis consist of the Series A common stock warrant liability related to the warrant to purchase 1,000 shares of Series A common stock with an exercise price of $69.94 per share and an expiration date of July 18, 2026, the third anniversary date of the closing of the Company’s IPO. The fair value of the Series A common stock warrant liability was immaterial as of March 31, 2026 and December 31, 2025, as well as the change in fair value during the three months ended March 31, 2026 and 2025. There were no transfers within the hierarchy during the periods presented.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financial assets that were measured at fair value on a recurring basis by level within the fair value hierarchy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3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Agency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5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67,913</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50,432</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Agency securities</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5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78,103</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80" w:type="dxa"/>
            <w:vAlign w:val="bottom"/>
            <w:gridSpan w:val="2"/>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40" w:type="dxa"/>
            <w:vAlign w:val="bottom"/>
            <w:gridSpan w:val="4"/>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0"/>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20" w:type="dxa"/>
            <w:vAlign w:val="bottom"/>
          </w:tcPr>
          <w:p>
            <w:pPr>
              <w:spacing w:after="0"/>
              <w:rPr>
                <w:sz w:val="18"/>
                <w:szCs w:val="18"/>
                <w:color w:val="auto"/>
              </w:rPr>
            </w:pPr>
          </w:p>
        </w:tc>
        <w:tc>
          <w:tcPr>
            <w:tcW w:w="1160" w:type="dxa"/>
            <w:vAlign w:val="bottom"/>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540" w:type="dxa"/>
            <w:vAlign w:val="bottom"/>
            <w:gridSpan w:val="2"/>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40" w:type="dxa"/>
            <w:vAlign w:val="bottom"/>
            <w:gridSpan w:val="4"/>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payroll-related costs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Accrued general and administrative costs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80" w:type="dxa"/>
            <w:vAlign w:val="bottom"/>
          </w:tcPr>
          <w:p>
            <w:pPr>
              <w:spacing w:after="0"/>
              <w:rPr>
                <w:sz w:val="18"/>
                <w:szCs w:val="18"/>
                <w:color w:val="auto"/>
              </w:rPr>
            </w:pPr>
          </w:p>
        </w:tc>
        <w:tc>
          <w:tcPr>
            <w:tcW w:w="1160" w:type="dxa"/>
            <w:vAlign w:val="bottom"/>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Ascletis BioScience Co. Ltd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2019, the Company entered into a license agreement that became effective in February 2019 with Ascletis BioScience Co. Ltd. (Ascletis), a subsidiary of Ascletis Pharma Inc. (Ascletis Pharma), a biotechnology company incorporated in the Cayman Islands and headquartered in Hangzhou, China. Ascletis Pharma, through a subsidiary, was the lead investor in the Company’s Series E redeemable convertible preferred stock financing in February 2019. The parties entered into this agreement with the intention to develop, manufacture, and commercialize the Company’s proprietary FASN inhibitor, denifanstat, which Ascletis refers to as ASC40. Under the terms of the license agreement, the Company granted Ascletis and its affiliates an exclusive, royalty-bearing sublicensable right and license under the Company’s intellectual property to develop, manufacture, commercialize and otherwise exploit denifanstat and other products containing denifanstat-related compounds in Greater China, consisting of the People’s Republic of China, Hong Kong, Macau and Taiwan.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is eligible to receive development and commercial milestone payments from Ascletis in aggregate of up to $122.0 million as well as tiered royalties ranging from percentages in the high single digits to mid-teens on future net sales of denifanstat in Greater China. The license and the research and development services components of this license agreement are representative of a relationship with a customer, and therefore, the Company evaluated the license agreement under the provisions of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developmental and commercial event-based milestone payments represent variable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 used the most likely amount method to estimate this variable consideration because the potential milestone payment is a binary event, as the Company will either receive the milestone payment or it will not. Given the high degree of uncertainty around achievement of these milestones, the Company determined the milestone amounts to be fully constrained and will not recognize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uncertainty associated with these payments is resolved. Any consideration related to royalties will be recognized if and when the related sales occur. The Company re-assesses the transaction price in each reporting period and when events whose outcomes are resolved or other changes in circumstances occur.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an Assignment and Assumption Agreement with Ascletis and Ascletis’ affiliate Gannex Pharma Co., Ltd. (Gannex) under which Ascletis, while remaining responsible for performance under the license agreement, assigned all of its rights and obligations under the license agreement to Gannex and Gannex assumed such rights and obligations, effective as of October 2019.</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Assia Chemical Industries Ltd.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2025, the Company entered into a term sheet with Assia Chemical Industries Ltd. (Assia), doing business as TAPI Technology &amp; API Series (TAPI), a subsidiary of Teva Pharmaceutical Industries Ltd. and in December 2025, the Company entered into a license agreement with TAPI replacing the term sheet (License Agreement). Under the agreement, TAPI granted the Company a global, exclusive license to certain intellectual property rights covering innovative forms of TAPI’s resmetirom active pharmaceutical ingredient (API) for Sagimet’s technical evaluation and manufacture, and, if elected by the Company, further development of a fixed-dose combination (FDC) product containing denifanstat and resmetirom.</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execution of the term sheet in September 2025, a non-refundable up-front payment of $2.5 million was due, which was paid and recognized in research and development expense during the year ended December 31, 2025. Pursuant to the License Agreement, the Company is obligated to pay TAPI potential additional manufacturing-related milestones of up to $5.5 million as well as a low single-digit royalty on net sales of the FDC product. The License Agreement terminates upon the date certain TAPI know-how ceases to be confidential information or the last of the TAPI patents expires, whichever is later, unless earlier terminated by either party in accordance with the terms of the License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Facility Lease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12, 2019, the Company executed a 38-month non-cancelable operating lease agreement for 3,030 square feet of office space for its headquarters facility in San Mateo, California, which commenced April 1, 2019. From 2021 through 2024, the Company amended the lease agreement several times to extend the term of the lease and adjust the monthly lease payment. In May 2025, the Company amended the lease agreement to extend the term of the lease through June 2026, which resulted in an increase in the Company’s operating lease right-of-use asset and corresponding operating lease liability of $0.2 million on the amendment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 costs were $40,000 and $39,000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To date, the Company has not paid any claims or been required to defend any action related to its indemnification obligations. As of March 31, 2026, the Company does not have any material indemnification claims that were probable or reasonably possible and consequently has not recorded related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that arise in the ordinary course of its business. The Company records a liability for such matters when it is probable that future losses will be incurred and that such losses can be reasonably estimated. Significant judgment by the Company is required to determine both probability and the estimated amount. The Company is not party to any material legal proceedings as of March 31,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2023 Stock Option and Incentive Plan (2023 Plan) was adopted by the board of directors, approved by the Company’s stockholders on July 4, 2023, and became effective on July 13, 2023, replacing the 2017 Equity Incentive Plan. The number of shares initially reserved for issuance under the 2023 Plan was 2,585,968. The number of shares will automatically increase each January 1, by</w:t>
      </w:r>
    </w:p>
    <w:p>
      <w:pPr>
        <w:spacing w:after="0" w:line="1" w:lineRule="exact"/>
        <w:rPr>
          <w:sz w:val="20"/>
          <w:szCs w:val="20"/>
          <w:color w:val="auto"/>
        </w:rPr>
      </w:pPr>
    </w:p>
    <w:p>
      <w:pPr>
        <w:jc w:val="both"/>
        <w:ind w:firstLine="8"/>
        <w:spacing w:after="0" w:line="252"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outstanding number of shares of the Company’s Series A common stock on the immediately preceding December 31 or (ii) a lesser number of shares as determined by the compensation committee of the board of directors. In accordance with the 2023 Plan, the shares reserved for issuance automatically increased by 855,016 shares on January 1, 2024, by 1,226,994 shares on January 1, 2025 and by 1,278,164 shares on January 1, 2026. As of March 31, 2026, the aggregate maximum number of shares reserved for issuance under the 2023 Plan was 5,946,142, of which 1,591,871 shares were available for future grants. Option grants issued under the 2023 Plan are exercisable for up to 10 years from the date of issuance.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2024, the Company established a pool of 1,000,000 shares of Series A common stock (Inducement Pool) from which equity grants in the form of options and restricted stock units may be issued as inducement for new employees to accept employment offers from the Company or for individuals returning to employment after a bona fide period of non-employment with the Company. Inducement Pool grants are granted outside of the 2023 Plan and do not require approval from the Company’s stockholders pursuant to the Nasdaq inducement grant exception in accordance with Nasdaq Listing Rule 5635(c)(4). In February 2025, the Company increased the number of shares available for issuance by 300,000 shares, increasing the total number of shares available for issuance under the Inducement Pool to 1,300,000 shares. As of March 31, 2026, 361,217 shares were available for future grants from the Inducement Pool.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in the condensed statements of operations and comprehensive loss related to stock options and restricted stock units and the ESPP (defined below) for employees and non-employees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3840" w:type="dxa"/>
            <w:vAlign w:val="bottom"/>
            <w:tcBorders>
              <w:bottom w:val="single" w:sz="8" w:color="auto"/>
            </w:tcBorders>
            <w:gridSpan w:val="5"/>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80" w:type="dxa"/>
            <w:vAlign w:val="bottom"/>
          </w:tcPr>
          <w:p>
            <w:pPr>
              <w:spacing w:after="0"/>
              <w:rPr>
                <w:sz w:val="12"/>
                <w:szCs w:val="12"/>
                <w:color w:val="auto"/>
              </w:rPr>
            </w:pPr>
          </w:p>
        </w:tc>
        <w:tc>
          <w:tcPr>
            <w:tcW w:w="114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700" w:type="dxa"/>
            <w:vAlign w:val="bottom"/>
            <w:gridSpan w:val="2"/>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top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170"/>
        </w:trPr>
        <w:tc>
          <w:tcPr>
            <w:tcW w:w="60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Included in:</w:t>
            </w: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7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 options which consist of (i) time-based options, which vest and become exercisable, subject to the participant’s continued employment or service through the applicable vesting date and (ii) performance-based options, which vest based on performance measures against predetermined objectives that include successful completion of qualified equity offerings or announced topline results for clinical trials and positive clinical results over a specified performance period. The Company’s time-based options have various vesting schedules that range from vesting immediately to vesting over a four-year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2026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2"/>
          </w:tcPr>
          <w:p>
            <w:pPr>
              <w:jc w:val="right"/>
              <w:ind w:right="1161"/>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6"/>
                <w:szCs w:val="16"/>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18"/>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Value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7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5,722,326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721,081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Outstanding, March 31, 2026 </w:t>
            </w:r>
            <w:r>
              <w:rPr>
                <w:rFonts w:ascii="Times New Roman" w:cs="Times New Roman" w:eastAsia="Times New Roman" w:hAnsi="Times New Roman"/>
                <w:sz w:val="25"/>
                <w:szCs w:val="25"/>
                <w:color w:val="auto"/>
                <w:vertAlign w:val="superscript"/>
              </w:rPr>
              <w:t>(2)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6,443,407</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March 31, 2026</w:t>
            </w:r>
          </w:p>
        </w:tc>
        <w:tc>
          <w:tcPr>
            <w:tcW w:w="700" w:type="dxa"/>
            <w:vAlign w:val="bottom"/>
            <w:tcBorders>
              <w:top w:val="single" w:sz="8" w:color="CCEEFF"/>
              <w:bottom w:val="single" w:sz="8" w:color="CCEEFF"/>
            </w:tcBorders>
            <w:vMerge w:val="restart"/>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gridSpan w:val="2"/>
            <w:vMerge w:val="continue"/>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6,443,407</w:t>
            </w:r>
          </w:p>
        </w:tc>
        <w:tc>
          <w:tcPr>
            <w:tcW w:w="400" w:type="dxa"/>
            <w:vAlign w:val="bottom"/>
            <w:tcBorders>
              <w:bottom w:val="single" w:sz="8" w:color="CCEEFF"/>
            </w:tcBorders>
            <w:gridSpan w:val="2"/>
            <w:vMerge w:val="continue"/>
          </w:tcPr>
          <w:p>
            <w:pPr>
              <w:spacing w:after="0"/>
              <w:rPr>
                <w:sz w:val="20"/>
                <w:szCs w:val="20"/>
                <w:color w:val="auto"/>
              </w:rPr>
            </w:pPr>
          </w:p>
        </w:tc>
        <w:tc>
          <w:tcPr>
            <w:tcW w:w="10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gridSpan w:val="2"/>
            <w:vMerge w:val="continue"/>
          </w:tcPr>
          <w:p>
            <w:pPr>
              <w:spacing w:after="0"/>
              <w:rPr>
                <w:sz w:val="20"/>
                <w:szCs w:val="20"/>
                <w:color w:val="auto"/>
              </w:rPr>
            </w:pPr>
          </w:p>
        </w:tc>
        <w:tc>
          <w:tcPr>
            <w:tcW w:w="10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7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3,997,639</w:t>
            </w:r>
          </w:p>
        </w:tc>
        <w:tc>
          <w:tcPr>
            <w:tcW w:w="400" w:type="dxa"/>
            <w:vAlign w:val="bottom"/>
            <w:tcBorders>
              <w:bottom w:val="single" w:sz="8" w:color="CCEEFF"/>
            </w:tcBorders>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CCEEFF"/>
            </w:tcBorders>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80" w:right="100" w:hanging="321"/>
        <w:spacing w:after="0" w:line="208" w:lineRule="auto"/>
        <w:tabs>
          <w:tab w:leader="none" w:pos="6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Aggregate intrinsic value represents the difference between the fair value of the Company’s Series A common stock on the last day of the fiscal period and the exercise price, multiplied by the number of options outstanding.</w:t>
      </w:r>
    </w:p>
    <w:p>
      <w:pPr>
        <w:spacing w:after="0" w:line="1" w:lineRule="exact"/>
        <w:rPr>
          <w:rFonts w:ascii="Times New Roman" w:cs="Times New Roman" w:eastAsia="Times New Roman" w:hAnsi="Times New Roman"/>
          <w:sz w:val="27"/>
          <w:szCs w:val="27"/>
          <w:color w:val="auto"/>
          <w:vertAlign w:val="superscript"/>
        </w:rPr>
      </w:pPr>
    </w:p>
    <w:p>
      <w:pPr>
        <w:ind w:left="680" w:right="20" w:hanging="321"/>
        <w:spacing w:after="0" w:line="200" w:lineRule="auto"/>
        <w:tabs>
          <w:tab w:leader="none" w:pos="6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477,467 performance-based options with a weighted-average exercise price of $6.44, all of which were fully vested and exercisable.</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weighted average grant-date fair value per share of stock options granted was $4.25 and $3.71, respectively. There were no stock options exercised during the three months ended March 31, 2026 and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was $9.9 million of unrecognized compensation expense, which is expected to be recognized over a remaining weighted-average period of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granted was estimated on the date of grant using the Black-Scholes option pricing model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320" w:type="dxa"/>
            <w:vAlign w:val="bottom"/>
            <w:tcBorders>
              <w:bottom w:val="single" w:sz="8" w:color="auto"/>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97.0 %</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95.0 %</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expected term is determined using the simplified method, which represents the average of the contractual term of the options and the weighted-average expected vesting period. The risk-free interest rate is determined by reference to the United States Treasury yield curve in effect at the time of grant of the award for time periods approximately equal to the expected term of the option. The expected stock volatility rate is based on the volatility rates of comparable publicly held companies over a period equal to the expected term of the option. The Company also utilizes its limited available historical volatility, to a lesser weight, in its expected stock volatility calculation. The Company utilizes a dividend yield of zero based on the fact that the Company has never paid cash dividends to stockholders and has no current intentions to pay cash dividends.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restricted stock units generally vest over a four-year period in equal amounts on an annual basis, provided the employee remains continuously employed with the Company. The fair value of the restricted stock units is equal to the closing price of the Company’s Series A common stock on the grant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6060"/>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8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62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5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220" w:type="dxa"/>
            <w:vAlign w:val="bottom"/>
          </w:tcPr>
          <w:p>
            <w:pPr>
              <w:ind w:left="6060"/>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480" w:type="dxa"/>
            <w:vAlign w:val="bottom"/>
            <w:gridSpan w:val="3"/>
          </w:tcPr>
          <w:p>
            <w:pPr>
              <w:jc w:val="right"/>
              <w:ind w:right="164"/>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830,077</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360,540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Vested/released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1,127,109</w:t>
            </w:r>
          </w:p>
        </w:tc>
        <w:tc>
          <w:tcPr>
            <w:tcW w:w="32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unvested restricted stock units was $3.9 million, which is expected to be recognized over a remaining weighted-average period of 2.9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2023 Employee Stock Purchase Plan (the ESPP) was adopted by the board of directors in July 2023 with an initial total of 215,497 shares of Series A common stock reserved for issuance. Under the ESPP plan, the amount of shares reserved automatically increases each January 1 through January 1, 2033, by the least of (i) 215,497 shares of Series A common stock, (ii) 1% of the outstanding number of shares of the Company’s Series A common stock on the immediately preceding December 31 or (iii) such lesser number of shares of Series A common stock as determined by the administrator of the ESPP. In accordance with the ESPP, the shares reserved for issuance automatically increased by 213,754 shares on January 1, 2024, by 215,497 shares on January 1, 2025 and by 215,497 shares on January 1, 2026. As of March 31, 2026, the aggregate maximum number of shares reserved for issuance under the ESPP was 860,245. No shares of Series A common stock have been issued under the ESPP to date.</w:t>
      </w:r>
    </w:p>
    <w:p>
      <w:pPr>
        <w:spacing w:after="0" w:line="18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20" w:firstLine="315"/>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discrete financial information is evaluated regularly by the chief operating decision maker (CODM) in deciding how to allocate resources and assess performance. The Company operates and manages its business as one business segment, which is development and commercialization of therapeutics for the treatment of acne, MASH and other diseases where FASN plays a pathogenic role. Accordingly, the Company has one reportable segment. The Company has a single management team that reports to the Chief Executive Officer, the Company's CODM, who comprehensively manages the entire Company. The accounting policies of the segment are the same as those described in the summary of significant accounting policies.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evaluating the Company’s financial performance, the CODM is regularly provided with more detailed expense information than what is included in the Company’s statements of operations and comprehensive loss. The CODM uses net loss, as reported in the statements of operations and comprehensive loss, in evaluating the performance of the segment. Decisions regarding resource allocation are made primarily during the annual budget planning process and reallocated as needed throughout the year. The measure of segment assets is reported on the balance sheets as total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 w:firstLine="315"/>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net loss, including the significant expense categories regularly provided to and reviewed by the CODM, for the three months ended March 31, 2026, and 2025 (in thousands):</w:t>
      </w:r>
    </w:p>
    <w:p>
      <w:pPr>
        <w:sectPr>
          <w:pgSz w:w="11900" w:h="16838" w:orient="portrait"/>
          <w:cols w:equalWidth="0" w:num="1">
            <w:col w:w="9940"/>
          </w:cols>
          <w:pgMar w:left="980" w:top="513" w:right="9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Denifanstat external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TVB-3567 external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External general and administrative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ind w:left="200"/>
        <w:spacing w:after="0" w:line="203" w:lineRule="auto"/>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Segment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90170</wp:posOffset>
            </wp:positionV>
            <wp:extent cx="1568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tcBorders>
            <w:gridSpan w:val="3"/>
          </w:tcPr>
          <w:p>
            <w:pPr>
              <w:jc w:val="right"/>
              <w:ind w:right="3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3,127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13,336</w:t>
            </w: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34"/>
        </w:trPr>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09"/>
        </w:trPr>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36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440" w:space="720"/>
            <w:col w:w="3780"/>
          </w:cols>
          <w:pgMar w:left="980" w:top="513" w:right="979" w:bottom="1440" w:gutter="0" w:footer="0" w:header="0"/>
          <w:type w:val="continuous"/>
        </w:sectPr>
      </w:pPr>
    </w:p>
    <w:p>
      <w:pPr>
        <w:ind w:left="680" w:right="40" w:hanging="321"/>
        <w:spacing w:after="0" w:line="208" w:lineRule="auto"/>
        <w:tabs>
          <w:tab w:leader="none" w:pos="680" w:val="left"/>
        </w:tabs>
        <w:numPr>
          <w:ilvl w:val="1"/>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items consist of (i) interest and other income, net and (ii) other internal operating research and development expenses.</w:t>
      </w:r>
    </w:p>
    <w:p>
      <w:pPr>
        <w:spacing w:after="0" w:line="195"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28, 2026, the Company completed an underwritten offering whereby it sold 29,166,700 shares of its Series A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at a price of $6.00 per share for gross proceeds of approximately $175.0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financial statements and related notes included elsewhere in this report on Form 10-Q for the quarter ended March 31, 2026 (Quarterly Report).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therapeutics called fatty acid synthase (FASN) inhibitors that target dysfunctional metabolic and fibrotic pathways in diseases resulting from the overproduction of the fatty acid, palmitate. Our lead drug candidate, denifanstat, is an oral once-daily pill and selective FASN inhibitor in development for the treatment of acne, metabolic dysfunction-associated steatohepatitis (MASH) and select forms of cancer. Denifanstat met all primary and secondary endpoints in a Phase 3 clinical trial in moderate to severe acne vulgaris conducted by our license partner, Ascletis BioScience Co. Ltd. (Ascletis), in China. Denifanstat also met all endpoints in Ascletis’ open-label Phase 3 clinical trial evaluating its long-term safety in patients with moderate to severe acne in China. Our second FASN inhibitor, TVB-3567, is a potent and selective small molecule FASN inhibitor in development for acne, that is currently undergoing a first-in-human Phase 1 clinical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FASN inhibition for the treatment of acne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Acne is one of the most common skin conditions in the United States, with approximately 50 million Americans affected annually and more than 5 million seeking medical treatment for acne each year. Acne affects around 85% of persons between the ages of 12 and</w:t>
      </w:r>
    </w:p>
    <w:p>
      <w:pPr>
        <w:jc w:val="both"/>
        <w:ind w:firstLine="8"/>
        <w:spacing w:after="0" w:line="255" w:lineRule="auto"/>
        <w:tabs>
          <w:tab w:leader="none" w:pos="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to severe acne accounts for 20% of acne sufferers, or approximately 10 million people in the United States annually. There is no cure for acne; and due to its pathology, most patients require chronic management and multiple annual courses of treatment for flare control.</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Acne is a disorder in which dysregulation of fatty acid metabolism also plays a key role. FASN is responsible through lipid synthesis for the production of skin oils (sebum). More than 80% of key sebum lipids such as palmitate and sapienic acid are produced by de novo lipogenesis (DNL)/FASN. In acne, excess sebum can lead to skin lesions and is a pro-inflammatory stimulus leading to exacerbation of those lesions, including development of nodules (nodular acne) and cysts (cystic acne).</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Acne is a promising therapeutic area for application of FASN inhibitors because FASN is required for sebum production, which is upregulated in acne and leads to exacerbation of acne lesions including development of nodules and cysts.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data demonstrates denifanstat’s potential to treat acne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2026, Ascletis reported that denifanstat was generally well-tolerated in the open-label Phase 3 clinical trial (n=240) evaluating the long-term safety of 50 mg once-daily denifanstat in patients with moderate to severe acne in China. Subjects treated with denifanstat showed improvements in all efficacy endpoints measured at 52 weeks (secondary endpoints of the trial).</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Ascletis announced that the China National Medical Products Administration (NMPA) accepted its New Drug Application (NDA) for denifanstat for the treatment of moderate to severe acne.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2025, Ascletis announced that denifanstat met all primary and secondary endpoints in its Phase 3 clinical trial in moderate to severe acne vulgaris in China. The Phase 3 clinical trial was a randomized, double-blind, placebo-controlled, multicenter clinical trial of 480 enrolled patients randomized 1:1 to receive denifanstat 50mg or placebo, once daily for 12 weeks.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Ascletis reported the following efficacy data from the Phase 3 clinical trial:</w:t>
      </w:r>
    </w:p>
    <w:p>
      <w:pPr>
        <w:spacing w:after="0" w:line="252"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primary endpoints were met, including: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0" w:hanging="317"/>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treatment success (defined as an Investigator’s Global Assessment (IGA) score of 0 (clear) or 1 (almost clear) with at least a 2-point decrease from baseline) (denifanstat 33.2% vs. placebo 14.6%, p&lt;0.0001).</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total lesion count (denifanstat -57.4% vs. placebo -35.4%, p&lt;0.0001).</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inflammatory lesion count (denifanstat -63.5% vs. placebo -43.2%, p&lt;0.0001).</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secondary endpoint of change in non-inflammatory lesion count was also met (denifanstat -51.9% vs. placebo -28.9%, p&lt;0.0001).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Ascletis reported that denifanstat was generally well-tolerated. Following 12 weeks of once-daily oral administration at 50 mg, the incidence rates of treatment emergent adverse events (TEAEs) were comparable between denifanstat and placebo.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Planned Phase 3 clinical trial of denifanstat in acne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Building on the recent successful Phase 3 clinical trial in China of denifanstat in moderate to severe acne, we plan to develop it in acne for the United States. We anticipate filing an Investigational New Drug (IND) application for denifanstat for the treatment of moderate to severe acne in mid-2026, and following IND clearance, plan to advance denifanstat into a registrational Phase 3 clinical trial in moderate to severe acne patients in the second half of 2026 for the United States.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 of TVB-3567</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2025, we initiated a first-in-human Phase 1 clinical trial of our potent and selective small molecule FASN inhibitor, TVB-3567, for development of an acne indication. The Phase 1 clinical trial is a randomized double-blind placebo-controlled trial designed to evaluate the safety, tolerability, pharmacokinetics and pharmacodynamics of TVB-3567 in healthy participants with or without acne. The trial is comprised of several parts, including single ascending dose cohorts and multiple ascending dose cohorts in participants without acne, followed by testing in participants with acne including evaluation of pharmacodynamic biomarkers. Subject to consultation with regulatory authorities, and contingent on the results of the Phase 1 clinical trial, we anticipate initiating the Phase 2 clinical trial of TVB-3567 in the second half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MASH</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critical role of FASN overactivity in MASH makes it an attractive target for drug therapy. Denifanstat targets multiple drivers of MASH by reducing steatosis, inflammation and fibrosis. Denifanstat met all primary and multiple secondary endpoints in the Phase 2b FASCINATE-2 clinical trial evaluating denifanstat in 168 biopsy-confirmed MASH patients with stage F2 or F3 fibrosis compared to placebo at week 52. We completed a Phase 1 pharmacokinetic (PK) clinical trial of a combination of denifanstat and the thyroid hormone receptor beta (THR-β) agonist, resmetirom (commercially available as Rezdiffra), in December 2025. We anticipate that the denifanstat and resmetirom combination program will be Phase 2-ready in the second half of 2026. We will undertake no further clinical development in MASH until non-dilutive financing is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in performing research, development and manufacturing activities in support of our own product development efforts and include internal personnel-related costs (such as salaries, employee benefits and stock-based compensation) for our personnel in research and development functions; as well as external costs, including costs related to acquiring, developing and manufacturing supplies for preclinical studies, clinical trials and other studies, including fees paid to contract manufacturing organizations (CMOs); costs and expenses related to agreements with contract research organizations (CROs), investigative sites and consultants to conduct non-clinical and preclinical studies and clinical trials; and professional and consulting services costs. Research and development expenses also include the costs of acquired product licenses and related technology rights where there is no alternative future 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research and development expenses are charged to operations as incurred in accordance with Accounting Standards Codification 730</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 We account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drug candidates into and through preclinical studies and clinical trials, pursue regulatory approval and expand our pipeline.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costs and expenses related to: personnel (including salaries, employee benefits and stock-based compensation) in our executive, finance and accounting and other administrative functions; legal services, including relating to intellectual property and corporate matters; accounting, auditing, consulting and tax services; insurance; information technology; and facility and other allocated costs not otherwise included in research and development expenses.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for the foreseeable future as we increase our headcount and continue to grow our corporate infrastructure.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consists primarily of interest income earned on our cash, cash equivalents and marketable securities offset by amortization of premiums and accretion of discounts to maturity on our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4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4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Research and development expenses for the three months ended March 31, 2026 and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52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External expenses</w:t>
            </w: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Clinical development and research</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2,615</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non-clinical</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5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External consulting and other</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 - external expenses</w:t>
            </w: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expenses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7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1,112</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5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internal operating expenses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5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Subtotal - internal expenses</w:t>
            </w:r>
          </w:p>
        </w:tc>
        <w:tc>
          <w:tcPr>
            <w:tcW w:w="7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1,495</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6,995</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$8.3 million, or 54%, for the three months ended March 31, 2026, compared to the three months ended March 31, 2025. This decrease was primarily due to a $8.9 million decrease in clinical development and research expenses related primarily to lower clinical trial costs incurred for our Phase 3 program of denifanstat in MASH, which was partially offset by higher costs for the Phase 1 clinical trial of TVB-3567, initiated in June 2025, and other clinical costs for the combination of denifanstat and resmetirom.</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External research and development expenses for the three months ended March 31, 2026 and 2025 were comprised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2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Denifanstat external research and development expenses</w:t>
            </w: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24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TVB-3567 external research and development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 </w:t>
      </w:r>
      <w:r>
        <w:rPr>
          <w:rFonts w:ascii="Times New Roman" w:cs="Times New Roman" w:eastAsia="Times New Roman" w:hAnsi="Times New Roman"/>
          <w:sz w:val="18"/>
          <w:szCs w:val="18"/>
          <w:color w:val="auto"/>
        </w:rPr>
        <w:t>General and administrative expenses increased by $0.2 million, or 4%,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the three months ended March 31, 2025 primarily due to a $0.3 million increase in stock-based compensation, which was partially offset by lower consulting and professional service expenses.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 </w:t>
      </w:r>
      <w:r>
        <w:rPr>
          <w:rFonts w:ascii="Times New Roman" w:cs="Times New Roman" w:eastAsia="Times New Roman" w:hAnsi="Times New Roman"/>
          <w:sz w:val="18"/>
          <w:szCs w:val="18"/>
          <w:color w:val="auto"/>
        </w:rPr>
        <w:t>Other income decreased by $0.6 million for the three months ended March 31,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due to a decrease in interest income earned driven by a lower cash, cash equivalents and marketable securities balance as well as lower yields during the three months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researching, discovering and developing our pipeline of proprietary FASN inhibitors and other drug targets, organizing and staffing our company, performing business planning, establishing our intellectual property portfolio, raising capital and general and administration activities to support and expand such activities. We do not have any products approved for sale and have not generated any revenue from product sales. Our revenues to date have been generated solely from the license agreement with Ascletis.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and private equity and debt financings, including our IPO of Series A common stock in July 2023 and our follow-on offering in January 2024, from which we received aggregate net proceeds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$190.9 million. Prior to becoming a public company, we raised $233.3 million in gross proceeds from the sale of our redeemable convertible preferred stock and convertible notes.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we entered into a Controlled Equity Offering Sales Agreement with Cantor Fitzgerald &amp; Co. to establish an at-the-market offering (2024 ATM Offering) through which we could offer and sell, from time to time at our sole discretion, up to $75.0 million of shares of our Series A common stock. In connection with the establishment of the 2025 ATM Offering (as defined below), we terminated the 2024 ATM Offering. No shares of Series A common stock were sold under the 2024 ATM Offering prior to such termination.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2025, we entered into a Sales Agreement with Leerink Partners LLC to establish an at-the-market offering (2025 ATM Offering) through which we may sell, from time to time at our sole discretion, up to $75.0 million shares of our Series A common stock. There were no sales under the 2025 ATM Offering since inception.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28, 2026, we completed an underwritten offering whereby we sold 29,166,700 shares of our Series A common stock at a price of $6.00 per share for gross proceeds of approximately $175.0 million. We estimate that the net proceeds from the underwritten offering will be approximately $163.9 million after deducting underwriting discounts, commissions and other offering expenses.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$104.5 million. We do not expect to generate any revenue from commercial product sales unless and until we successfully complete development and obtain regulatory approval for one or more of our drug candidates, which we expect will take a number of years, if ever. We anticipate that we will continue to incur significant expenses for the foreseeable future as we continue to advance our drug candidates through preclinical and clinical trials; manufacture supplies for our preclinical studies and clinical trials; expand our corporate infrastructure, including the costs associated with being a public company; pursue regulatory approval of our drug candidates; hire additional personnel; acquire, discover, validate and develop additional drug candidates; and obtain, maintain, expand and protect our intellectual property portfolio.</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commercialization of our drug candidates or additional revenue from collaboration agreements with third parties, if ever, we expect to finance our future cash needs through public or private equity or debt financings, third-party funding and marketing and distribution arrangements, as well as other collaborations, strategic alliances and licensing arrangements, or any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macroeconomic conditions, disruptions to and volatility in the credit and financial markets and geopolitical turmoil.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obtaining regulatory approval to commence a clinical trial or complying with conditions imposed by a regulatory authority regarding the scope or term of a clinical trial;</w:t>
      </w:r>
    </w:p>
    <w:p>
      <w:pPr>
        <w:spacing w:after="0" w:line="17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conditions imposed on us by the FDA or other regulatory authorities regarding the scope or design of our clinical trials;</w:t>
      </w:r>
    </w:p>
    <w:p>
      <w:pPr>
        <w:spacing w:after="0" w:line="238" w:lineRule="exact"/>
        <w:rPr>
          <w:rFonts w:ascii="Times New Roman" w:cs="Times New Roman" w:eastAsia="Times New Roman" w:hAnsi="Times New Roman"/>
          <w:sz w:val="18"/>
          <w:szCs w:val="18"/>
          <w:color w:val="231F20"/>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or failing to reach agreement on acceptable terms with prospective CROs, CMOs, and trial sites, the terms of which can be subject to extensive negotiation and may vary significantly;</w:t>
      </w:r>
    </w:p>
    <w:p>
      <w:pPr>
        <w:spacing w:after="0" w:line="17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insufficient supply of our drug candidates or other materials necessary to conduct and complete our clinical trials;</w:t>
      </w:r>
    </w:p>
    <w:p>
      <w:pPr>
        <w:spacing w:after="0" w:line="238" w:lineRule="exact"/>
        <w:rPr>
          <w:rFonts w:ascii="Times New Roman" w:cs="Times New Roman" w:eastAsia="Times New Roman" w:hAnsi="Times New Roman"/>
          <w:sz w:val="18"/>
          <w:szCs w:val="18"/>
          <w:color w:val="231F20"/>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obtaining institutional review board (IRB) or ethics committee approval to conduct a clinical trial at a prospective site;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slow enrollment and retention rate of subjects in our clinical trials;</w:t>
      </w:r>
    </w:p>
    <w:p>
      <w:pPr>
        <w:spacing w:after="0" w:line="238" w:lineRule="exact"/>
        <w:rPr>
          <w:rFonts w:ascii="Times New Roman" w:cs="Times New Roman" w:eastAsia="Times New Roman" w:hAnsi="Times New Roman"/>
          <w:sz w:val="18"/>
          <w:szCs w:val="18"/>
          <w:color w:val="231F20"/>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or other regulatory authority requiring alterations to any of our study designs, our preclinical strategy or our manufacturing plans;</w:t>
      </w:r>
    </w:p>
    <w:p>
      <w:pPr>
        <w:spacing w:after="0" w:line="175" w:lineRule="exact"/>
        <w:rPr>
          <w:rFonts w:ascii="Times New Roman" w:cs="Times New Roman" w:eastAsia="Times New Roman" w:hAnsi="Times New Roman"/>
          <w:sz w:val="18"/>
          <w:szCs w:val="18"/>
          <w:color w:val="231F20"/>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governmental or regulatory delays and changes in regulatory requirements, policy and guidelines; serious and unexpected drug-related side effects related to the drug candidate being tested;</w:t>
      </w:r>
    </w:p>
    <w:p>
      <w:pPr>
        <w:spacing w:after="0" w:line="17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adequate funding to continue clinical trials;</w:t>
      </w:r>
    </w:p>
    <w:p>
      <w:pPr>
        <w:spacing w:after="0" w:line="238"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severe or unexpected drug-related adverse effects;</w:t>
      </w:r>
    </w:p>
    <w:p>
      <w:pPr>
        <w:spacing w:after="0" w:line="238"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occurrence of severe adverse effects in clinical trials of the same class of agents conducted by other companies;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vendors not performing manufacturing and distribution services in a timely manner or to sufficient quality standards;</w:t>
      </w:r>
    </w:p>
    <w:p>
      <w:pPr>
        <w:spacing w:after="0" w:line="238" w:lineRule="exact"/>
        <w:rPr>
          <w:rFonts w:ascii="Times New Roman" w:cs="Times New Roman" w:eastAsia="Times New Roman" w:hAnsi="Times New Roman"/>
          <w:sz w:val="18"/>
          <w:szCs w:val="18"/>
          <w:color w:val="231F20"/>
        </w:rPr>
      </w:pPr>
    </w:p>
    <w:p>
      <w:pPr>
        <w:jc w:val="both"/>
        <w:ind w:left="680" w:hanging="321"/>
        <w:spacing w:after="0" w:line="274"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182"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not performing data collection or analysis in a timely or accurate manner;</w:t>
      </w:r>
    </w:p>
    <w:p>
      <w:pPr>
        <w:spacing w:after="0" w:line="238" w:lineRule="exact"/>
        <w:rPr>
          <w:rFonts w:ascii="Times New Roman" w:cs="Times New Roman" w:eastAsia="Times New Roman" w:hAnsi="Times New Roman"/>
          <w:sz w:val="18"/>
          <w:szCs w:val="18"/>
          <w:color w:val="231F20"/>
        </w:rPr>
      </w:pPr>
    </w:p>
    <w:p>
      <w:pPr>
        <w:jc w:val="both"/>
        <w:ind w:left="680" w:hanging="321"/>
        <w:spacing w:after="0" w:line="274"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w:t>
      </w:r>
    </w:p>
    <w:p>
      <w:pPr>
        <w:spacing w:after="0" w:line="182" w:lineRule="exact"/>
        <w:rPr>
          <w:rFonts w:ascii="Times New Roman" w:cs="Times New Roman" w:eastAsia="Times New Roman" w:hAnsi="Times New Roman"/>
          <w:sz w:val="18"/>
          <w:szCs w:val="18"/>
          <w:color w:val="231F20"/>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of our third-party contractors, such as CROs and CMOs, or our investigators to comply with regulatory requirements or otherwise meet their contractual obligations in a timely manner.</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could significantly change our costs and timing associated with the development of our drug candidates. Furthermore, our operating plans may change in the future, and we may need additional funds to meet operational needs and capital requirements associated with such change.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and will continue to rely on third parties in the conduct of our preclinical studies and clinical trials and for manufacturing and supply of our drug candidates. We have no internal manufacturing capabilities, and we will continue to rely on third parties for our preclinical study and clinical trial materials. Given our stage of development, we do not yet have a marketing or sales organization or commercial infrastructure. Accordingly, if we obtain regulatory approval for any of our drug candidates, we also expect to incur significant commercialization expenses related to product sales, marketing, manufacturing and distribution.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for products and services, including contract research and contract manufacturing services, which include provisions allowing for termination under certain conditions and timelines. These contracts generally do not include payments for early termination and are considered cancellable contracts.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cash equivalents, and marketable securities as of March 31, 2026, together with approximately $163.9 million in net proceeds from the April 2026 underwritten offering of Series A common stock, will be sufficient for us to fund our operating expenses for at least the next 12 months from the issuance of this Quarterly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presented below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8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gridSpan w:val="3"/>
          </w:tcPr>
          <w:p>
            <w:pPr>
              <w:jc w:val="right"/>
              <w:ind w:right="244"/>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5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80" w:type="dxa"/>
            <w:vAlign w:val="bottom"/>
            <w:gridSpan w:val="2"/>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Net cash used in operating activities was $8.6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and primarily related to cash used to fund clinical development and other non-clinical activities for denifanstat, clinical development and manufacturing costs for TVB-3567, as well as costs associated with operating as a public company.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$14.5 million for the three months ended March 31, 2025, and primarily related to cash used to fund clinical development, manufacturing and other non-clinical activities for denifanstat, inclusive of clinical-batch manufacturing and trial start-up costs for a Phase 3 trial of denifanstat in MASH, as well as costs to build out our corporate infrastructure and costs associated with operating as a public company.</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 </w:t>
      </w:r>
      <w:r>
        <w:rPr>
          <w:rFonts w:ascii="Times New Roman" w:cs="Times New Roman" w:eastAsia="Times New Roman" w:hAnsi="Times New Roman"/>
          <w:sz w:val="18"/>
          <w:szCs w:val="18"/>
          <w:color w:val="auto"/>
        </w:rPr>
        <w:t>Net cash provided by investing activities was $10.2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and related to proceeds received from the sale and maturity of marketable securities of $17.0 million, partially offset by purchases of marketable securities of $6.8 million.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$3.4 million for the three months ended March 31, 2025 and related to proceeds received from the sale and maturity of marketable securities of $19.0 million, partially offset by purchases of marketable securities of $15.6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The preparation of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and changes in estimates may occur.</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status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w:t>
      </w:r>
    </w:p>
    <w:p>
      <w:pPr>
        <w:spacing w:after="0" w:line="1" w:lineRule="exact"/>
        <w:rPr>
          <w:sz w:val="20"/>
          <w:szCs w:val="20"/>
          <w:color w:val="auto"/>
        </w:rPr>
      </w:pPr>
    </w:p>
    <w:p>
      <w:pPr>
        <w:ind w:left="4880" w:right="1720" w:hanging="4872"/>
        <w:spacing w:after="0" w:line="761"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 longer an emerging growth company or (ii) we affirmatively and irrevocably opt out of the extended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transition period provided in the JOBS Act. As a result, our financial statements may not be comparable to companies that comply with the new or revised accounting pronouncements as of public company effective dates.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our first fiscal year in which we have total annual gross revenues of $1.235 billion or more, (ii) December 31, 2028,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“Notes to the Financial Statements—Note 2” included in our unaudited interim financial statements in Item 1 of this Quarterly Report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2026,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quarterly report on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 under the Exchange Act) adopted or terminated a "Rule 10b5-1 trading arrangement" or "non-Rule 10b5-1 trading arrangement" (as those terms are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90"/>
        </w:trPr>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gridSpan w:val="5"/>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Executive Employment Agreement by and between Sagimet Biosciences Inc. and Andreas</w:t>
            </w:r>
          </w:p>
        </w:tc>
        <w:tc>
          <w:tcPr>
            <w:tcW w:w="20" w:type="dxa"/>
            <w:vAlign w:val="bottom"/>
          </w:tcPr>
          <w:p>
            <w:pPr>
              <w:spacing w:after="0"/>
              <w:rPr>
                <w:sz w:val="24"/>
                <w:szCs w:val="24"/>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Grauer M.D., effective April 20, 2026</w:t>
            </w: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w:t>
            </w:r>
          </w:p>
        </w:tc>
        <w:tc>
          <w:tcPr>
            <w:tcW w:w="300" w:type="dxa"/>
            <w:vAlign w:val="bottom"/>
            <w:gridSpan w:val="3"/>
          </w:tcPr>
          <w:p>
            <w:pPr>
              <w:spacing w:after="0"/>
              <w:rPr>
                <w:sz w:val="24"/>
                <w:szCs w:val="24"/>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9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Securities Exchange Act of 1934, as Adopted Pursuant to Section 302 of the Sarbanes-Oxley</w:t>
            </w:r>
          </w:p>
        </w:tc>
        <w:tc>
          <w:tcPr>
            <w:tcW w:w="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614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Financial and Accounting Officer Pursuant to Rules 13a-14(a) and</w:t>
            </w: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15d-14(a) under the Securities Exchange Act of 1934, as Adopted Pursuant to Section 302 of</w:t>
            </w: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4380" w:type="dxa"/>
            <w:vAlign w:val="bottom"/>
            <w:tcBorders>
              <w:top w:val="single" w:sz="8" w:color="0000EE"/>
            </w:tcBorders>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900" w:type="dxa"/>
            <w:vAlign w:val="bottom"/>
          </w:tcPr>
          <w:p>
            <w:pPr>
              <w:spacing w:after="0"/>
              <w:rPr>
                <w:sz w:val="24"/>
                <w:szCs w:val="24"/>
                <w:color w:val="auto"/>
              </w:rPr>
            </w:pPr>
          </w:p>
        </w:tc>
        <w:tc>
          <w:tcPr>
            <w:tcW w:w="6620" w:type="dxa"/>
            <w:vAlign w:val="bottom"/>
            <w:gridSpan w:val="4"/>
          </w:tcPr>
          <w:p>
            <w:pPr>
              <w:ind w:left="39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9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 Accounting Officer</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0"/>
        </w:trPr>
        <w:tc>
          <w:tcPr>
            <w:tcW w:w="9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6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 as Adopted Pursuant to Section 906 of the Sarbanes-Oxley</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2022</w:t>
            </w:r>
          </w:p>
        </w:tc>
        <w:tc>
          <w:tcPr>
            <w:tcW w:w="614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r>
      <w:tr>
        <w:trPr>
          <w:trHeight w:val="42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00" w:type="dxa"/>
            <w:vAlign w:val="bottom"/>
          </w:tcPr>
          <w:p>
            <w:pPr>
              <w:spacing w:after="0"/>
              <w:rPr>
                <w:sz w:val="20"/>
                <w:szCs w:val="20"/>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154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to be signed on its behalf by the undersigned, thereunto duly authorized.</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229"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By:/s/ David Happel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David Happel</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By:/s/ Thierry Chauche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Thierry Chauche</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0" w:right="10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6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Sagimet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Andreas Grauer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is effective as of April 20, 2026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 the Company desires to employ the Executive and the Executive desires to be employed by the Company on the terms and conditions contained herein</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42" w:lineRule="exact"/>
        <w:rPr>
          <w:sz w:val="20"/>
          <w:szCs w:val="20"/>
          <w:color w:val="auto"/>
        </w:rPr>
      </w:pPr>
    </w:p>
    <w:p>
      <w:pPr>
        <w:ind w:left="1280" w:hanging="640"/>
        <w:spacing w:after="0"/>
        <w:tabs>
          <w:tab w:leader="none" w:pos="12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288"/>
        <w:spacing w:after="0" w:line="234" w:lineRule="auto"/>
        <w:tabs>
          <w:tab w:leader="none" w:pos="194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for a term of three years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xml:space="preserve">”) unless either party terminates the employment relationship prior to the end of the Initial Term or any subsequent period. On each anniversary of the Effective Date following the Initial Term, the term of this Agreement shall be automatically extended for successive one-year periods,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either party hereto may elect not to extend this Agreement by providing a Notice of Termination prior to any such anniversary date. Notwithstanding anything in the foregoing, the Executive’s employment with the Company shall continue to be “at will,” meaning that the Executive’s employment may be terminated by the Company or the Executive at any time and for any reason or no reason, with or without Cause, and with or without notice.</w:t>
      </w:r>
    </w:p>
    <w:p>
      <w:pPr>
        <w:spacing w:after="0" w:line="138" w:lineRule="exact"/>
        <w:rPr>
          <w:rFonts w:ascii="Times New Roman" w:cs="Times New Roman" w:eastAsia="Times New Roman" w:hAnsi="Times New Roman"/>
          <w:sz w:val="22"/>
          <w:szCs w:val="22"/>
          <w:color w:val="auto"/>
        </w:rPr>
      </w:pPr>
    </w:p>
    <w:p>
      <w:pPr>
        <w:jc w:val="both"/>
        <w:ind w:firstLine="1288"/>
        <w:spacing w:after="0" w:line="234" w:lineRule="auto"/>
        <w:tabs>
          <w:tab w:leader="none" w:pos="194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xml:space="preserve">. The Executive shall serve as the Chief Medical Officer of the Company and shall have such powers and duties as may from time to time be prescribed by the </w:t>
      </w:r>
      <w:r>
        <w:rPr>
          <w:rFonts w:ascii="Times New Roman" w:cs="Times New Roman" w:eastAsia="Times New Roman" w:hAnsi="Times New Roman"/>
          <w:sz w:val="22"/>
          <w:szCs w:val="22"/>
          <w:b w:val="1"/>
          <w:bCs w:val="1"/>
          <w:color w:val="auto"/>
        </w:rPr>
        <w:t>Chief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Executive Officer (the “</w:t>
      </w:r>
      <w:r>
        <w:rPr>
          <w:rFonts w:ascii="Times New Roman" w:cs="Times New Roman" w:eastAsia="Times New Roman" w:hAnsi="Times New Roman"/>
          <w:sz w:val="22"/>
          <w:szCs w:val="22"/>
          <w:b w:val="1"/>
          <w:bCs w:val="1"/>
          <w:u w:val="single" w:color="auto"/>
          <w:color w:val="auto"/>
        </w:rPr>
        <w:t>CEO”)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will devote the Executive’s full working time and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business and affairs of the Company. While employed by the Company, the Executive agrees not to undertake or engage in any consulting, employment, occupation, investment or business enterprise for other parties that may create a conflict of interest with the Company. Further Executive agrees that during the term of Executive’s employment with the Company, Executive will not engage in any such activities that are directly related to the business in which the Company is now involved or becomes involved during the term of Executive’s employment.</w:t>
      </w:r>
    </w:p>
    <w:p>
      <w:pPr>
        <w:spacing w:after="0" w:line="138" w:lineRule="exact"/>
        <w:rPr>
          <w:rFonts w:ascii="Times New Roman" w:cs="Times New Roman" w:eastAsia="Times New Roman" w:hAnsi="Times New Roman"/>
          <w:sz w:val="22"/>
          <w:szCs w:val="22"/>
          <w:color w:val="auto"/>
        </w:rPr>
      </w:pPr>
    </w:p>
    <w:p>
      <w:pPr>
        <w:ind w:left="1280" w:hanging="640"/>
        <w:spacing w:after="0"/>
        <w:tabs>
          <w:tab w:leader="none" w:pos="12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b w:val="1"/>
          <w:bCs w:val="1"/>
          <w:color w:val="auto"/>
        </w:rPr>
        <w:t>.</w:t>
      </w:r>
    </w:p>
    <w:p>
      <w:pPr>
        <w:spacing w:after="0" w:line="165" w:lineRule="exact"/>
        <w:rPr>
          <w:rFonts w:ascii="Times New Roman" w:cs="Times New Roman" w:eastAsia="Times New Roman" w:hAnsi="Times New Roman"/>
          <w:sz w:val="22"/>
          <w:szCs w:val="22"/>
          <w:b w:val="1"/>
          <w:bCs w:val="1"/>
          <w:color w:val="auto"/>
        </w:rPr>
      </w:pPr>
    </w:p>
    <w:p>
      <w:pPr>
        <w:jc w:val="both"/>
        <w:ind w:firstLine="1288"/>
        <w:spacing w:after="0" w:line="238" w:lineRule="auto"/>
        <w:tabs>
          <w:tab w:leader="none" w:pos="194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Executive’s base salary is $535,000 per year. The Executive’s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will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in its discretion. The base salary in effect at any given 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will be payable in a manner that is consistent with the Company’s usual payroll practices for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826770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08" w:right="999" w:bottom="1440" w:gutter="0" w:footer="0" w:header="0"/>
        </w:sectPr>
      </w:pPr>
    </w:p>
    <w:bookmarkStart w:id="29" w:name="page30"/>
    <w:bookmarkEnd w:id="29"/>
    <w:p>
      <w:pPr>
        <w:jc w:val="both"/>
        <w:ind w:firstLine="1288"/>
        <w:spacing w:after="0" w:line="234" w:lineRule="auto"/>
        <w:tabs>
          <w:tab w:leader="none" w:pos="19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Incentive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shall be eligible to receive cash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as determined by the Board or the Compensation Committee from time to time. The Executive’s initial target annual incentive compensation will be forty percent (40%) of the Executive’s Base Salary.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The actual amount of the Executive’s annual incentive compensation, if any, shall be determined in the sole discretion of the Board or the Compensation Committee, subject to the terms of any applicable incentive compensation plan that may be in effect from time to time. Except as otherwise provided herein or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w:t>
      </w:r>
    </w:p>
    <w:p>
      <w:pPr>
        <w:spacing w:after="0" w:line="139" w:lineRule="exact"/>
        <w:rPr>
          <w:rFonts w:ascii="Times New Roman" w:cs="Times New Roman" w:eastAsia="Times New Roman" w:hAnsi="Times New Roman"/>
          <w:sz w:val="22"/>
          <w:szCs w:val="22"/>
          <w:color w:val="auto"/>
        </w:rPr>
      </w:pPr>
    </w:p>
    <w:p>
      <w:pPr>
        <w:jc w:val="both"/>
        <w:ind w:firstLine="1288"/>
        <w:spacing w:after="0" w:line="241" w:lineRule="auto"/>
        <w:tabs>
          <w:tab w:leader="none" w:pos="19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shall be entitled to receive prompt reimbursement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expenses incurred by the Executive during the term of Executive’s employment in performing services hereunder, in accordance with applicable law and the policies and procedures then in effect and established by the Company for its executive officers.</w:t>
      </w:r>
    </w:p>
    <w:p>
      <w:pPr>
        <w:spacing w:after="0" w:line="144" w:lineRule="exact"/>
        <w:rPr>
          <w:rFonts w:ascii="Times New Roman" w:cs="Times New Roman" w:eastAsia="Times New Roman" w:hAnsi="Times New Roman"/>
          <w:sz w:val="22"/>
          <w:szCs w:val="22"/>
          <w:color w:val="auto"/>
        </w:rPr>
      </w:pPr>
    </w:p>
    <w:p>
      <w:pPr>
        <w:ind w:right="20" w:firstLine="1288"/>
        <w:spacing w:after="0" w:line="262" w:lineRule="auto"/>
        <w:tabs>
          <w:tab w:leader="none" w:pos="19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will be eligible to participate in or receive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Company’s employee benefit plans in effect from time to time, subject to the terms of such plans.</w:t>
      </w:r>
    </w:p>
    <w:p>
      <w:pPr>
        <w:spacing w:after="0" w:line="109" w:lineRule="exact"/>
        <w:rPr>
          <w:rFonts w:ascii="Times New Roman" w:cs="Times New Roman" w:eastAsia="Times New Roman" w:hAnsi="Times New Roman"/>
          <w:sz w:val="22"/>
          <w:szCs w:val="22"/>
          <w:color w:val="auto"/>
        </w:rPr>
      </w:pPr>
    </w:p>
    <w:p>
      <w:pPr>
        <w:ind w:firstLine="1288"/>
        <w:spacing w:after="0" w:line="262" w:lineRule="auto"/>
        <w:tabs>
          <w:tab w:leader="none" w:pos="19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Paid Time Off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will be entitled to take paid time off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applicable paid time off policy for executives, as may be in effect from time to time.</w:t>
      </w:r>
    </w:p>
    <w:p>
      <w:pPr>
        <w:spacing w:after="0" w:line="109" w:lineRule="exact"/>
        <w:rPr>
          <w:rFonts w:ascii="Times New Roman" w:cs="Times New Roman" w:eastAsia="Times New Roman" w:hAnsi="Times New Roman"/>
          <w:sz w:val="22"/>
          <w:szCs w:val="22"/>
          <w:color w:val="auto"/>
        </w:rPr>
      </w:pPr>
    </w:p>
    <w:p>
      <w:pPr>
        <w:jc w:val="both"/>
        <w:ind w:firstLine="1288"/>
        <w:spacing w:after="0" w:line="233" w:lineRule="auto"/>
        <w:tabs>
          <w:tab w:leader="none" w:pos="194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approval by the Company’s Board of Directors (the “Board”),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anticipates granting you an option to purchase shares of Common Stock with a fair market value of the equivalent of $1,340,000, as determined based on the Black Scholes value as of the date of grant (the “Option”). The anticipated Option will be granted under the inducement award exception set forth in Nasdaq Marketplace Rule 5635(c)(4) outside of the Company’s 2023 Stock Plan (the “Plan”) as an inducement material to your decision to accept the offer of employment with the Company. The Option will be governed by the terms of your grant agreement (the “Award Agreement”), and will include the following vesting schedule: 12/48ths of the total shares will vest on the one year anniversary of the vesting commencement date, and 1/48th of the total shares will vest each month thereafter on the same day of the month as the vesting commencement date (or if there is no corresponding day, on the last day of the month), subject to your Continuous Service (as defined in the Award Agreement) as of each such date. Notwithstanding anything to the contrary in the Award Agreement, Section 6(a)(ii) of this Agreement shall apply in the event of a termination by the Company without Cause or by the Executive for Good Reason in either event within the Change in Control Period (as such terms are defined below).</w:t>
      </w:r>
    </w:p>
    <w:p>
      <w:pPr>
        <w:spacing w:after="0" w:line="152" w:lineRule="exact"/>
        <w:rPr>
          <w:rFonts w:ascii="Times New Roman" w:cs="Times New Roman" w:eastAsia="Times New Roman" w:hAnsi="Times New Roman"/>
          <w:sz w:val="22"/>
          <w:szCs w:val="22"/>
          <w:color w:val="auto"/>
        </w:rPr>
      </w:pPr>
    </w:p>
    <w:p>
      <w:pPr>
        <w:ind w:right="220" w:firstLine="640"/>
        <w:spacing w:after="0" w:line="262" w:lineRule="auto"/>
        <w:tabs>
          <w:tab w:leader="none" w:pos="129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Executive’s employment hereunder may be terminated without any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under the following circumstances:</w:t>
      </w:r>
    </w:p>
    <w:p>
      <w:pPr>
        <w:spacing w:after="0" w:line="109" w:lineRule="exact"/>
        <w:rPr>
          <w:rFonts w:ascii="Times New Roman" w:cs="Times New Roman" w:eastAsia="Times New Roman" w:hAnsi="Times New Roman"/>
          <w:sz w:val="22"/>
          <w:szCs w:val="22"/>
          <w:b w:val="1"/>
          <w:bCs w:val="1"/>
          <w:color w:val="auto"/>
        </w:rPr>
      </w:pPr>
    </w:p>
    <w:p>
      <w:pPr>
        <w:ind w:left="1940" w:hanging="652"/>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Executive’s employment hereunder shall terminate upon the Executive’s</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08" w:right="999" w:bottom="1440" w:gutter="0" w:footer="0" w:header="0"/>
        </w:sectPr>
      </w:pPr>
    </w:p>
    <w:bookmarkStart w:id="30" w:name="page31"/>
    <w:bookmarkEnd w:id="30"/>
    <w:p>
      <w:pPr>
        <w:jc w:val="both"/>
        <w:ind w:firstLine="1288"/>
        <w:spacing w:after="0" w:line="233" w:lineRule="auto"/>
        <w:tabs>
          <w:tab w:leader="none" w:pos="19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terminate the Executive’s employment if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California Fair Employment and Housing Act, the California Family Rights Act, the Family and Medical Leave Act of 1993, and the Americans with Disabilities Act</w:t>
      </w:r>
      <w:r>
        <w:rPr>
          <w:rFonts w:ascii="Times New Roman" w:cs="Times New Roman" w:eastAsia="Times New Roman" w:hAnsi="Times New Roman"/>
          <w:sz w:val="22"/>
          <w:szCs w:val="22"/>
          <w:i w:val="1"/>
          <w:iCs w:val="1"/>
          <w:color w:val="auto"/>
        </w:rPr>
        <w:t>.</w:t>
      </w:r>
    </w:p>
    <w:p>
      <w:pPr>
        <w:spacing w:after="0" w:line="134" w:lineRule="exact"/>
        <w:rPr>
          <w:rFonts w:ascii="Times New Roman" w:cs="Times New Roman" w:eastAsia="Times New Roman" w:hAnsi="Times New Roman"/>
          <w:sz w:val="22"/>
          <w:szCs w:val="22"/>
          <w:color w:val="auto"/>
        </w:rPr>
      </w:pPr>
    </w:p>
    <w:p>
      <w:pPr>
        <w:jc w:val="both"/>
        <w:ind w:firstLine="1288"/>
        <w:spacing w:after="0" w:line="246" w:lineRule="auto"/>
        <w:tabs>
          <w:tab w:leader="none" w:pos="194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by the Company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hereunder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44" w:lineRule="exact"/>
        <w:rPr>
          <w:rFonts w:ascii="Times New Roman" w:cs="Times New Roman" w:eastAsia="Times New Roman" w:hAnsi="Times New Roman"/>
          <w:sz w:val="22"/>
          <w:szCs w:val="22"/>
          <w:color w:val="auto"/>
        </w:rPr>
      </w:pPr>
    </w:p>
    <w:p>
      <w:pPr>
        <w:ind w:firstLine="1936"/>
        <w:spacing w:after="0" w:line="282" w:lineRule="auto"/>
        <w:tabs>
          <w:tab w:leader="none" w:pos="259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willfully fails or refuses to substantially perform the Executive’s responsibilities under this Agreement, after demand for substantial performance has been given by the Board;</w:t>
      </w:r>
    </w:p>
    <w:p>
      <w:pPr>
        <w:spacing w:after="0" w:line="94" w:lineRule="exact"/>
        <w:rPr>
          <w:rFonts w:ascii="Times New Roman" w:cs="Times New Roman" w:eastAsia="Times New Roman" w:hAnsi="Times New Roman"/>
          <w:sz w:val="21"/>
          <w:szCs w:val="21"/>
          <w:color w:val="auto"/>
        </w:rPr>
      </w:pPr>
    </w:p>
    <w:p>
      <w:pPr>
        <w:jc w:val="both"/>
        <w:ind w:firstLine="1936"/>
        <w:spacing w:after="0" w:line="244" w:lineRule="auto"/>
        <w:tabs>
          <w:tab w:leader="none" w:pos="259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non-performance by the Executive of Executive’s material duties (other than by reason of the Executive’s physical or mental illness, incapacity or disability) which has continued for more than 30 days;</w:t>
      </w:r>
    </w:p>
    <w:p>
      <w:pPr>
        <w:spacing w:after="0" w:line="132" w:lineRule="exact"/>
        <w:rPr>
          <w:rFonts w:ascii="Times New Roman" w:cs="Times New Roman" w:eastAsia="Times New Roman" w:hAnsi="Times New Roman"/>
          <w:sz w:val="22"/>
          <w:szCs w:val="22"/>
          <w:color w:val="auto"/>
        </w:rPr>
      </w:pPr>
    </w:p>
    <w:p>
      <w:pPr>
        <w:jc w:val="both"/>
        <w:ind w:firstLine="1936"/>
        <w:spacing w:after="0" w:line="244" w:lineRule="auto"/>
        <w:tabs>
          <w:tab w:leader="none" w:pos="258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by the Executive constituting an intentional act of misconduct in connection with the performance of Executive’s duties, including, without limitation, acts of dishonesty or fraud and misappropriation of funds or property of the Company;</w:t>
      </w:r>
    </w:p>
    <w:p>
      <w:pPr>
        <w:spacing w:after="0" w:line="142"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Executive’s commission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to a felony;</w:t>
      </w:r>
    </w:p>
    <w:p>
      <w:pPr>
        <w:spacing w:after="0" w:line="177" w:lineRule="exact"/>
        <w:rPr>
          <w:rFonts w:ascii="Times New Roman" w:cs="Times New Roman" w:eastAsia="Times New Roman" w:hAnsi="Times New Roman"/>
          <w:sz w:val="21"/>
          <w:szCs w:val="21"/>
          <w:color w:val="auto"/>
        </w:rPr>
      </w:pPr>
    </w:p>
    <w:p>
      <w:pPr>
        <w:ind w:right="20" w:firstLine="1936"/>
        <w:spacing w:after="0" w:line="262" w:lineRule="auto"/>
        <w:tabs>
          <w:tab w:leader="none" w:pos="259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commission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misdemeanor involving moral turpitude, deceit, dishonesty or fraud;</w:t>
      </w:r>
    </w:p>
    <w:p>
      <w:pPr>
        <w:spacing w:after="0" w:line="113"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materially breaches any provision of this Agreement 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 Agreement;</w:t>
      </w:r>
    </w:p>
    <w:p>
      <w:pPr>
        <w:spacing w:after="0" w:line="141"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Executive of the Company’s ethics or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08" w:right="999" w:bottom="1440" w:gutter="0" w:footer="0" w:header="0"/>
        </w:sectPr>
      </w:pPr>
    </w:p>
    <w:bookmarkStart w:id="31" w:name="page32"/>
    <w:bookmarkEnd w:id="31"/>
    <w:p>
      <w:pPr>
        <w:ind w:firstLine="1936"/>
        <w:spacing w:after="0" w:line="259" w:lineRule="auto"/>
        <w:tabs>
          <w:tab w:leader="none" w:pos="258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violation by the Executive of the Company’s employment policies that causes or may cause harm to the Company;</w:t>
      </w:r>
    </w:p>
    <w:p>
      <w:pPr>
        <w:spacing w:after="0" w:line="116" w:lineRule="exact"/>
        <w:rPr>
          <w:rFonts w:ascii="Times New Roman" w:cs="Times New Roman" w:eastAsia="Times New Roman" w:hAnsi="Times New Roman"/>
          <w:sz w:val="22"/>
          <w:szCs w:val="22"/>
          <w:color w:val="auto"/>
        </w:rPr>
      </w:pPr>
    </w:p>
    <w:p>
      <w:pPr>
        <w:ind w:firstLine="1936"/>
        <w:spacing w:after="0" w:line="258" w:lineRule="auto"/>
        <w:tabs>
          <w:tab w:leader="none" w:pos="25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intentional violation of any applicable law or regulation affecting the Company in any material respect;</w:t>
      </w:r>
    </w:p>
    <w:p>
      <w:pPr>
        <w:spacing w:after="0" w:line="131" w:lineRule="exact"/>
        <w:rPr>
          <w:rFonts w:ascii="Times New Roman" w:cs="Times New Roman" w:eastAsia="Times New Roman" w:hAnsi="Times New Roman"/>
          <w:sz w:val="22"/>
          <w:szCs w:val="22"/>
          <w:color w:val="auto"/>
        </w:rPr>
      </w:pPr>
    </w:p>
    <w:p>
      <w:pPr>
        <w:jc w:val="both"/>
        <w:ind w:firstLine="1936"/>
        <w:spacing w:after="0" w:line="244" w:lineRule="auto"/>
        <w:tabs>
          <w:tab w:leader="none" w:pos="259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failure to reasonably cooperate with a bona fide internal investigation or an investigation by any government body, after being lawfully instructed by the Company to cooperate;</w:t>
      </w:r>
    </w:p>
    <w:p>
      <w:pPr>
        <w:spacing w:after="0" w:line="132" w:lineRule="exact"/>
        <w:rPr>
          <w:rFonts w:ascii="Times New Roman" w:cs="Times New Roman" w:eastAsia="Times New Roman" w:hAnsi="Times New Roman"/>
          <w:sz w:val="22"/>
          <w:szCs w:val="22"/>
          <w:color w:val="auto"/>
        </w:rPr>
      </w:pPr>
    </w:p>
    <w:p>
      <w:pPr>
        <w:jc w:val="both"/>
        <w:ind w:firstLine="1936"/>
        <w:spacing w:after="0" w:line="244" w:lineRule="auto"/>
        <w:tabs>
          <w:tab w:leader="none" w:pos="25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32" w:lineRule="exact"/>
        <w:rPr>
          <w:rFonts w:ascii="Times New Roman" w:cs="Times New Roman" w:eastAsia="Times New Roman" w:hAnsi="Times New Roman"/>
          <w:sz w:val="22"/>
          <w:szCs w:val="22"/>
          <w:color w:val="auto"/>
        </w:rPr>
      </w:pPr>
    </w:p>
    <w:p>
      <w:pPr>
        <w:ind w:firstLine="1936"/>
        <w:spacing w:after="0" w:line="258" w:lineRule="auto"/>
        <w:tabs>
          <w:tab w:leader="none" w:pos="25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disqualified or barred by any governmental or self-regulatory authority from serving in the capacity contemplated by this Agreement; or</w:t>
      </w:r>
    </w:p>
    <w:p>
      <w:pPr>
        <w:spacing w:after="0" w:line="131"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engages in any financial accounting improprieties.</w:t>
      </w:r>
    </w:p>
    <w:p>
      <w:pPr>
        <w:spacing w:after="0" w:line="161" w:lineRule="exact"/>
        <w:rPr>
          <w:rFonts w:ascii="Times New Roman" w:cs="Times New Roman" w:eastAsia="Times New Roman" w:hAnsi="Times New Roman"/>
          <w:sz w:val="22"/>
          <w:szCs w:val="22"/>
          <w:color w:val="auto"/>
        </w:rPr>
      </w:pPr>
    </w:p>
    <w:p>
      <w:pPr>
        <w:jc w:val="both"/>
        <w:ind w:firstLine="1288"/>
        <w:spacing w:after="0" w:line="238" w:lineRule="auto"/>
        <w:tabs>
          <w:tab w:leader="none" w:pos="194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by the Company without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hereunder at any time without Cause. Any termination by the Company of the Executive’s employment under this Agreement that does not constitute a termination for Cause under Section 3(c) and does not result from the death or disability of the Executive under Section 3(a) or (b) shall be deemed a termination without Cause.</w:t>
      </w:r>
    </w:p>
    <w:p>
      <w:pPr>
        <w:spacing w:after="0" w:line="136" w:lineRule="exact"/>
        <w:rPr>
          <w:rFonts w:ascii="Times New Roman" w:cs="Times New Roman" w:eastAsia="Times New Roman" w:hAnsi="Times New Roman"/>
          <w:sz w:val="22"/>
          <w:szCs w:val="22"/>
          <w:color w:val="auto"/>
        </w:rPr>
      </w:pPr>
    </w:p>
    <w:p>
      <w:pPr>
        <w:jc w:val="both"/>
        <w:ind w:firstLine="1288"/>
        <w:spacing w:after="0" w:line="238" w:lineRule="auto"/>
        <w:tabs>
          <w:tab w:leader="none" w:pos="194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by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may terminate employment hereunder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for any reason, including but not limited to, Good Reason. For purposes of this Agreement, “</w:t>
      </w:r>
      <w:r>
        <w:rPr>
          <w:rFonts w:ascii="Times New Roman" w:cs="Times New Roman" w:eastAsia="Times New Roman" w:hAnsi="Times New Roman"/>
          <w:sz w:val="22"/>
          <w:szCs w:val="22"/>
          <w:u w:val="single" w:color="auto"/>
          <w:color w:val="auto"/>
        </w:rPr>
        <w:t>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w:t>
      </w:r>
      <w:r>
        <w:rPr>
          <w:rFonts w:ascii="Times New Roman" w:cs="Times New Roman" w:eastAsia="Times New Roman" w:hAnsi="Times New Roman"/>
          <w:sz w:val="22"/>
          <w:szCs w:val="22"/>
          <w:color w:val="auto"/>
        </w:rPr>
        <w:t>” means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22"/>
          <w:szCs w:val="22"/>
          <w:u w:val="single" w:color="auto"/>
          <w:color w:val="auto"/>
        </w:rPr>
        <w:t>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 Condition</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responsibilities, authority or duties;</w:t>
      </w:r>
    </w:p>
    <w:p>
      <w:pPr>
        <w:spacing w:after="0" w:line="179" w:lineRule="exact"/>
        <w:rPr>
          <w:rFonts w:ascii="Times New Roman" w:cs="Times New Roman" w:eastAsia="Times New Roman" w:hAnsi="Times New Roman"/>
          <w:sz w:val="22"/>
          <w:szCs w:val="22"/>
          <w:color w:val="auto"/>
        </w:rPr>
      </w:pPr>
    </w:p>
    <w:p>
      <w:pPr>
        <w:jc w:val="both"/>
        <w:ind w:left="640" w:firstLine="1296"/>
        <w:spacing w:after="0" w:line="244" w:lineRule="auto"/>
        <w:tabs>
          <w:tab w:leader="none" w:pos="258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Base Salary except for across-the-board salary reductions similarly affecting all or substantially all senior management employees of the Company;</w:t>
      </w:r>
    </w:p>
    <w:p>
      <w:pPr>
        <w:spacing w:after="0" w:line="132" w:lineRule="exact"/>
        <w:rPr>
          <w:rFonts w:ascii="Times New Roman" w:cs="Times New Roman" w:eastAsia="Times New Roman" w:hAnsi="Times New Roman"/>
          <w:sz w:val="22"/>
          <w:szCs w:val="22"/>
          <w:color w:val="auto"/>
        </w:rPr>
      </w:pPr>
    </w:p>
    <w:p>
      <w:pPr>
        <w:jc w:val="both"/>
        <w:ind w:left="640" w:firstLine="1296"/>
        <w:spacing w:after="0" w:line="239" w:lineRule="auto"/>
        <w:tabs>
          <w:tab w:leader="none" w:pos="258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of the principal office of the Company to which the Executive is assigned (or the Executive’s remote office if the Executive is a remote employee), such that there is an increase of at least 30 miles of driving distance to such location from the Executive’s principal residence as of such change; or</w:t>
      </w:r>
    </w:p>
    <w:p>
      <w:pPr>
        <w:spacing w:after="0" w:line="139"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2" w:name="page33"/>
    <w:bookmarkEnd w:id="32"/>
    <w:p>
      <w:pPr>
        <w:ind w:left="640" w:firstLine="1296"/>
        <w:spacing w:after="0" w:line="259" w:lineRule="auto"/>
        <w:tabs>
          <w:tab w:leader="none" w:pos="258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reasonably determines in good faith that a Good Reason Condition has occurred;</w:t>
      </w:r>
    </w:p>
    <w:p>
      <w:pPr>
        <w:spacing w:after="0" w:line="116" w:lineRule="exact"/>
        <w:rPr>
          <w:rFonts w:ascii="Times New Roman" w:cs="Times New Roman" w:eastAsia="Times New Roman" w:hAnsi="Times New Roman"/>
          <w:sz w:val="22"/>
          <w:szCs w:val="22"/>
          <w:color w:val="auto"/>
        </w:rPr>
      </w:pPr>
    </w:p>
    <w:p>
      <w:pPr>
        <w:jc w:val="both"/>
        <w:ind w:left="640" w:firstLine="1296"/>
        <w:spacing w:after="0" w:line="247" w:lineRule="auto"/>
        <w:tabs>
          <w:tab w:leader="none" w:pos="258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notifies the Company, in writing, of the first occurrence of the purpose for Executive claiming good reason (the “Good Reason Condition”) within 30 days of the first occurrence of such condition and specifically says in that writing (a) what the Good Reason Condition is, (b) that the Executive is resigning for Good Reason because of the aforementioned condition, and</w:t>
      </w:r>
    </w:p>
    <w:p>
      <w:pPr>
        <w:spacing w:after="0" w:line="1" w:lineRule="exact"/>
        <w:rPr>
          <w:rFonts w:ascii="Times New Roman" w:cs="Times New Roman" w:eastAsia="Times New Roman" w:hAnsi="Times New Roman"/>
          <w:sz w:val="21"/>
          <w:szCs w:val="21"/>
          <w:color w:val="auto"/>
        </w:rPr>
      </w:pPr>
    </w:p>
    <w:p>
      <w:pPr>
        <w:ind w:left="940" w:hanging="300"/>
        <w:spacing w:after="0"/>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Executive believes the first occurrence of such condition occurred;</w:t>
      </w:r>
    </w:p>
    <w:p>
      <w:pPr>
        <w:spacing w:after="0" w:line="155" w:lineRule="exact"/>
        <w:rPr>
          <w:rFonts w:ascii="Times New Roman" w:cs="Times New Roman" w:eastAsia="Times New Roman" w:hAnsi="Times New Roman"/>
          <w:sz w:val="22"/>
          <w:szCs w:val="22"/>
          <w:color w:val="auto"/>
        </w:rPr>
      </w:pPr>
    </w:p>
    <w:p>
      <w:pPr>
        <w:jc w:val="both"/>
        <w:ind w:left="640" w:firstLine="1296"/>
        <w:spacing w:after="0" w:line="244" w:lineRule="auto"/>
        <w:tabs>
          <w:tab w:leader="none" w:pos="258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cooperates in good faith with the Company’s efforts, for a period of not less than 30 days following such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remedy the Good Reason Condition;</w:t>
      </w:r>
    </w:p>
    <w:p>
      <w:pPr>
        <w:spacing w:after="0" w:line="132" w:lineRule="exact"/>
        <w:rPr>
          <w:rFonts w:ascii="Times New Roman" w:cs="Times New Roman" w:eastAsia="Times New Roman" w:hAnsi="Times New Roman"/>
          <w:sz w:val="22"/>
          <w:szCs w:val="22"/>
          <w:color w:val="auto"/>
        </w:rPr>
      </w:pPr>
    </w:p>
    <w:p>
      <w:pPr>
        <w:ind w:left="640" w:firstLine="1296"/>
        <w:spacing w:after="0" w:line="258" w:lineRule="auto"/>
        <w:tabs>
          <w:tab w:leader="none" w:pos="258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22"/>
          <w:szCs w:val="22"/>
          <w:color w:val="auto"/>
        </w:rPr>
      </w:pPr>
    </w:p>
    <w:p>
      <w:pPr>
        <w:ind w:left="2580" w:hanging="644"/>
        <w:spacing w:after="0"/>
        <w:tabs>
          <w:tab w:leader="none" w:pos="25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terminates employment within 30 days after the end of the Cure</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w:t>
      </w:r>
    </w:p>
    <w:p>
      <w:pPr>
        <w:spacing w:after="0" w:line="15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114" w:lineRule="exact"/>
        <w:rPr>
          <w:sz w:val="20"/>
          <w:szCs w:val="20"/>
          <w:color w:val="auto"/>
        </w:rPr>
      </w:pPr>
    </w:p>
    <w:p>
      <w:pPr>
        <w:ind w:left="1280" w:hanging="640"/>
        <w:spacing w:after="0"/>
        <w:tabs>
          <w:tab w:leader="none" w:pos="12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Matters related to Termination</w:t>
      </w:r>
      <w:r>
        <w:rPr>
          <w:rFonts w:ascii="Times New Roman" w:cs="Times New Roman" w:eastAsia="Times New Roman" w:hAnsi="Times New Roman"/>
          <w:sz w:val="22"/>
          <w:szCs w:val="22"/>
          <w:b w:val="1"/>
          <w:bCs w:val="1"/>
          <w:color w:val="auto"/>
        </w:rPr>
        <w:t>.</w:t>
      </w:r>
    </w:p>
    <w:p>
      <w:pPr>
        <w:spacing w:after="0" w:line="165" w:lineRule="exact"/>
        <w:rPr>
          <w:rFonts w:ascii="Times New Roman" w:cs="Times New Roman" w:eastAsia="Times New Roman" w:hAnsi="Times New Roman"/>
          <w:sz w:val="22"/>
          <w:szCs w:val="22"/>
          <w:b w:val="1"/>
          <w:bCs w:val="1"/>
          <w:color w:val="auto"/>
        </w:rPr>
      </w:pPr>
    </w:p>
    <w:p>
      <w:pPr>
        <w:jc w:val="both"/>
        <w:ind w:firstLine="1288"/>
        <w:spacing w:after="0" w:line="238" w:lineRule="auto"/>
        <w:tabs>
          <w:tab w:leader="none" w:pos="194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termination as specified in Section 3(a),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means a notice which shall indicate the specific termination provision in this Agreement relied upon.</w:t>
      </w:r>
    </w:p>
    <w:p>
      <w:pPr>
        <w:spacing w:after="0" w:line="136" w:lineRule="exact"/>
        <w:rPr>
          <w:rFonts w:ascii="Times New Roman" w:cs="Times New Roman" w:eastAsia="Times New Roman" w:hAnsi="Times New Roman"/>
          <w:sz w:val="22"/>
          <w:szCs w:val="22"/>
          <w:color w:val="auto"/>
        </w:rPr>
      </w:pPr>
    </w:p>
    <w:p>
      <w:pPr>
        <w:jc w:val="both"/>
        <w:ind w:firstLine="1288"/>
        <w:spacing w:after="0" w:line="233" w:lineRule="auto"/>
        <w:tabs>
          <w:tab w:leader="none" w:pos="194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(i) if the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7" w:lineRule="exact"/>
        <w:rPr>
          <w:rFonts w:ascii="Times New Roman" w:cs="Times New Roman" w:eastAsia="Times New Roman" w:hAnsi="Times New Roman"/>
          <w:sz w:val="22"/>
          <w:szCs w:val="22"/>
          <w:color w:val="auto"/>
        </w:rPr>
      </w:pPr>
    </w:p>
    <w:p>
      <w:pPr>
        <w:jc w:val="both"/>
        <w:ind w:firstLine="1288"/>
        <w:spacing w:after="0" w:line="246" w:lineRule="auto"/>
        <w:tabs>
          <w:tab w:leader="none" w:pos="194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Accrued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Executive’s employment with the Company is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the Company will pay or provide to the Executive (or to the Executive’s authorized representative or estate) (i) any Base Salary earned through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3" w:name="page34"/>
    <w:bookmarkEnd w:id="33"/>
    <w:p>
      <w:pPr>
        <w:jc w:val="both"/>
        <w:spacing w:after="0"/>
        <w:rPr>
          <w:sz w:val="20"/>
          <w:szCs w:val="20"/>
          <w:color w:val="auto"/>
        </w:rPr>
      </w:pPr>
      <w:r>
        <w:rPr>
          <w:rFonts w:ascii="Times New Roman" w:cs="Times New Roman" w:eastAsia="Times New Roman" w:hAnsi="Times New Roman"/>
          <w:sz w:val="22"/>
          <w:szCs w:val="22"/>
          <w:color w:val="auto"/>
        </w:rPr>
        <w:t>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jc w:val="both"/>
        <w:ind w:firstLine="1288"/>
        <w:spacing w:after="0" w:line="238" w:lineRule="auto"/>
        <w:tabs>
          <w:tab w:leader="none" w:pos="194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Resignation of All Other Positions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the Executive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resigned from all officer and board member positions that the Executive holds with the Company or any of its respective subsidiaries and affiliates upon the termination of the Executive’s employment for any reason. The Executive agrees to execute any documents in reasonable form as may be requested to confirm or effectuate any such resignations.</w:t>
      </w:r>
    </w:p>
    <w:p>
      <w:pPr>
        <w:spacing w:after="0" w:line="149" w:lineRule="exact"/>
        <w:rPr>
          <w:rFonts w:ascii="Times New Roman" w:cs="Times New Roman" w:eastAsia="Times New Roman" w:hAnsi="Times New Roman"/>
          <w:sz w:val="22"/>
          <w:szCs w:val="22"/>
          <w:color w:val="auto"/>
        </w:rPr>
      </w:pPr>
    </w:p>
    <w:p>
      <w:pPr>
        <w:jc w:val="both"/>
        <w:ind w:firstLine="640"/>
        <w:spacing w:after="0" w:line="233"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shall provide that if the Executive breaches any of the Continuing Obligations, all payments of the Severance Amount shall immediately cease (the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and (ii) the Separation Agreement becoming irrevocable, all within 60 days after the Date of Termination (the “Release Deadline”) or such shorter period as set forth in the Separation Agreement (prongs (i) and (ii) are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ind w:right="260" w:firstLine="1288"/>
        <w:spacing w:after="0" w:line="258" w:lineRule="auto"/>
        <w:tabs>
          <w:tab w:leader="none" w:pos="194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9 months of the Executive’s Base Salary (the “</w:t>
      </w:r>
      <w:r>
        <w:rPr>
          <w:rFonts w:ascii="Times New Roman" w:cs="Times New Roman" w:eastAsia="Times New Roman" w:hAnsi="Times New Roman"/>
          <w:sz w:val="22"/>
          <w:szCs w:val="22"/>
          <w:u w:val="single" w:color="auto"/>
          <w:color w:val="auto"/>
        </w:rPr>
        <w:t>Severance Amount</w:t>
      </w:r>
      <w:r>
        <w:rPr>
          <w:rFonts w:ascii="Times New Roman" w:cs="Times New Roman" w:eastAsia="Times New Roman" w:hAnsi="Times New Roman"/>
          <w:sz w:val="22"/>
          <w:szCs w:val="22"/>
          <w:color w:val="auto"/>
        </w:rPr>
        <w:t>”); and</w:t>
      </w:r>
    </w:p>
    <w:p>
      <w:pPr>
        <w:spacing w:after="0" w:line="117" w:lineRule="exact"/>
        <w:rPr>
          <w:rFonts w:ascii="Times New Roman" w:cs="Times New Roman" w:eastAsia="Times New Roman" w:hAnsi="Times New Roman"/>
          <w:sz w:val="22"/>
          <w:szCs w:val="22"/>
          <w:color w:val="auto"/>
        </w:rPr>
      </w:pPr>
    </w:p>
    <w:p>
      <w:pPr>
        <w:jc w:val="both"/>
        <w:ind w:firstLine="1288"/>
        <w:spacing w:after="0" w:line="233" w:lineRule="auto"/>
        <w:tabs>
          <w:tab w:leader="none" w:pos="194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coverage is mandated by law and subject to the Executive’s copayment of premium amounts at the applicable active employees’ rate and the Executive’s proper election to receive benefits under the Consolidated Omnibus Budget Reconciliation Act of 1985, as amended (or equivalent state law)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the Company shall pay to the group health plan provider or the COBRA provider a monthly payment equal to both the monthly employee and the monthly employer contribution that the Company or the Executive would have made to provide health insurance to the Executive if the Executive had remained employed by the Company until the earliest of (A) the 9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Company determines that it cannot pay such amounts to the group health plan provider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4" w:name="page35"/>
    <w:bookmarkEnd w:id="3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amounts payable under this Section 5, to the extent taxable, shall be paid out in lump sum in accordance with the Company’s payroll practice within 60 days after the Date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be paid in the second calendar year by the last day of such 60-day period. Each payment pursuant to this Agreement is intended to constitute a separate payment for purposes of Treasury Regulation Section 1.409A-2(b)(2).</w:t>
      </w:r>
    </w:p>
    <w:p>
      <w:pPr>
        <w:spacing w:after="0" w:line="139" w:lineRule="exact"/>
        <w:rPr>
          <w:sz w:val="20"/>
          <w:szCs w:val="20"/>
          <w:color w:val="auto"/>
        </w:rPr>
      </w:pPr>
    </w:p>
    <w:p>
      <w:pPr>
        <w:jc w:val="both"/>
        <w:ind w:firstLine="640"/>
        <w:spacing w:after="0" w:line="250" w:lineRule="auto"/>
        <w:tabs>
          <w:tab w:leader="none" w:pos="1296"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Section 6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12 months after the occurrence of the first event constituting a Change in Control (such period, the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b w:val="1"/>
          <w:bCs w:val="1"/>
          <w:color w:val="auto"/>
        </w:rPr>
      </w:pPr>
    </w:p>
    <w:p>
      <w:pPr>
        <w:jc w:val="both"/>
        <w:ind w:firstLine="1288"/>
        <w:spacing w:after="0" w:line="238" w:lineRule="auto"/>
        <w:tabs>
          <w:tab w:leader="none" w:pos="19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Executive complying with the Release Requirement and the Release becoming fully effective within the Release Deadline:</w:t>
      </w:r>
    </w:p>
    <w:p>
      <w:pPr>
        <w:spacing w:after="0" w:line="136" w:lineRule="exact"/>
        <w:rPr>
          <w:rFonts w:ascii="Times New Roman" w:cs="Times New Roman" w:eastAsia="Times New Roman" w:hAnsi="Times New Roman"/>
          <w:sz w:val="22"/>
          <w:szCs w:val="22"/>
          <w:color w:val="auto"/>
        </w:rPr>
      </w:pPr>
    </w:p>
    <w:p>
      <w:pPr>
        <w:jc w:val="both"/>
        <w:ind w:left="640" w:firstLine="1296"/>
        <w:spacing w:after="0" w:line="236" w:lineRule="auto"/>
        <w:tabs>
          <w:tab w:leader="none" w:pos="2584"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the sum of (A) 15 months of the Executive’s Base Salary (the “Severance Amount”) plus (B) the an amount equal to 15 months of the Executive’s Target Bonus plus (C) the Executive’s Target Bonus for the then-current year (or the Executive’s Target Bonus in effect immediately prior to the Change in Control, if higher), prorated to reflect the number of days the Executive worked at the Company during the applicable year;</w:t>
      </w:r>
    </w:p>
    <w:p>
      <w:pPr>
        <w:spacing w:after="0" w:line="140" w:lineRule="exact"/>
        <w:rPr>
          <w:rFonts w:ascii="Times New Roman" w:cs="Times New Roman" w:eastAsia="Times New Roman" w:hAnsi="Times New Roman"/>
          <w:sz w:val="22"/>
          <w:szCs w:val="22"/>
          <w:color w:val="auto"/>
        </w:rPr>
      </w:pPr>
    </w:p>
    <w:p>
      <w:pPr>
        <w:jc w:val="both"/>
        <w:ind w:left="640" w:firstLine="1297"/>
        <w:spacing w:after="0" w:line="233" w:lineRule="auto"/>
        <w:tabs>
          <w:tab w:leader="none" w:pos="2582"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coverage is mandated by law and subject to the Executive’s copayment of premium amounts at the applicable active employees’ rate and the Executive’s proper election to receive benefits under the Consolidated Omnibus Budget Reconciliation Act of 1985, as amended (or equivalent state law)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the Company shall pay to the group health plan provider or the COBRA provider a monthly payment equal to both the monthly employee and the monthly employer contribution that the Company would have made to provide health insurance to the Executive if the Executive had remained employed by the Company until the earliest of (A) the 15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5" w:name="page36"/>
    <w:bookmarkEnd w:id="35"/>
    <w:p>
      <w:pPr>
        <w:ind w:left="640" w:right="760"/>
        <w:spacing w:after="0" w:line="259" w:lineRule="auto"/>
        <w:rPr>
          <w:sz w:val="20"/>
          <w:szCs w:val="20"/>
          <w:color w:val="auto"/>
        </w:rPr>
      </w:pPr>
      <w:r>
        <w:rPr>
          <w:rFonts w:ascii="Times New Roman" w:cs="Times New Roman" w:eastAsia="Times New Roman" w:hAnsi="Times New Roman"/>
          <w:sz w:val="22"/>
          <w:szCs w:val="22"/>
          <w:color w:val="auto"/>
        </w:rPr>
        <w:t>the time period specified above. Such payments to the Executive shall be subject to tax-related deductions and withholdings and paid on the Company’s regular payroll dates; and</w:t>
      </w:r>
    </w:p>
    <w:p>
      <w:pPr>
        <w:spacing w:after="0" w:line="116" w:lineRule="exact"/>
        <w:rPr>
          <w:sz w:val="20"/>
          <w:szCs w:val="20"/>
          <w:color w:val="auto"/>
        </w:rPr>
      </w:pPr>
    </w:p>
    <w:p>
      <w:pPr>
        <w:jc w:val="both"/>
        <w:ind w:left="640" w:firstLine="1297"/>
        <w:spacing w:after="0" w:line="233" w:lineRule="auto"/>
        <w:tabs>
          <w:tab w:leader="none" w:pos="25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applicable option agreement or other stock-based award agreement, all stock options and other stock-based awards held by the Executive that are subject vesting (the “</w:t>
      </w:r>
      <w:r>
        <w:rPr>
          <w:rFonts w:ascii="Times New Roman" w:cs="Times New Roman" w:eastAsia="Times New Roman" w:hAnsi="Times New Roman"/>
          <w:sz w:val="22"/>
          <w:szCs w:val="22"/>
          <w:u w:val="single" w:color="auto"/>
          <w:color w:val="auto"/>
        </w:rPr>
        <w:t>Unvested Equity Awards</w:t>
      </w:r>
      <w:r>
        <w:rPr>
          <w:rFonts w:ascii="Times New Roman" w:cs="Times New Roman" w:eastAsia="Times New Roman" w:hAnsi="Times New Roman"/>
          <w:sz w:val="22"/>
          <w:szCs w:val="22"/>
          <w:color w:val="auto"/>
        </w:rPr>
        <w:t>”) shall immediately accelerate and become fully vested and exercisable or nonforfeitable, with any such awards subject to performance-based vesting conditions to be deemed vested at target levels, as of the later of (i) the Date of Termination or (ii) the effective date of the Release (the “</w:t>
      </w:r>
      <w:r>
        <w:rPr>
          <w:rFonts w:ascii="Times New Roman" w:cs="Times New Roman" w:eastAsia="Times New Roman" w:hAnsi="Times New Roman"/>
          <w:sz w:val="22"/>
          <w:szCs w:val="22"/>
          <w:u w:val="single" w:color="auto"/>
          <w:color w:val="auto"/>
        </w:rPr>
        <w:t>Accelerated Vesting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order to effectuate the accelerated vesting contemplated by this subsection, the unvested portion of the Executive’s Unvested Equity Awards that would otherwise be forfeited on the Date of Termination will be delayed until the earlier of (A) the effective date of the Release (at which time acceleration will occur), or (B) the date that the Release can no longer become fully effective (at which time the unvested portion of the Executive’s Unvested Equity Awards will be forfeited). Notwithstanding the foregoing, no additional vesting of the Unvested Equity Awards shall occur during the period between the Date of Termination and the Accelerated Vesting Date; and</w:t>
      </w:r>
    </w:p>
    <w:p>
      <w:pPr>
        <w:spacing w:after="0" w:line="155" w:lineRule="exact"/>
        <w:rPr>
          <w:rFonts w:ascii="Times New Roman" w:cs="Times New Roman" w:eastAsia="Times New Roman" w:hAnsi="Times New Roman"/>
          <w:sz w:val="22"/>
          <w:szCs w:val="22"/>
          <w:color w:val="auto"/>
        </w:rPr>
      </w:pPr>
    </w:p>
    <w:p>
      <w:pPr>
        <w:jc w:val="both"/>
        <w:ind w:left="640" w:firstLine="1297"/>
        <w:spacing w:after="0" w:line="236" w:lineRule="auto"/>
        <w:tabs>
          <w:tab w:leader="none" w:pos="258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applicable option agreement or other stock-based award agreement, all stock options held by the Executive that are vested as of the date of the Executive’s termination of employment (inclusive of, for the avoidance of doubt, any such stock options that become vested pursuant to the terms of Section 6(a)(iii)) shall remain exercisable until the first to occur of the date that is 12 months following the date of the Executive’s termination of employment or the expiration date of such stock option.</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cash amounts payable under this Section 6(a), to the extent taxable, shall be paid in lump sum within 60 days after the Date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36" w:lineRule="exact"/>
        <w:rPr>
          <w:sz w:val="20"/>
          <w:szCs w:val="20"/>
          <w:color w:val="auto"/>
        </w:rPr>
      </w:pPr>
    </w:p>
    <w:p>
      <w:pPr>
        <w:ind w:left="1940" w:hanging="652"/>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640" w:firstLine="1297"/>
        <w:spacing w:after="0" w:line="233" w:lineRule="auto"/>
        <w:tabs>
          <w:tab w:leader="none" w:pos="258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6" w:name="page37"/>
    <w:bookmarkEnd w:id="36"/>
    <w:p>
      <w:pPr>
        <w:jc w:val="both"/>
        <w:ind w:left="640"/>
        <w:spacing w:after="0" w:line="235" w:lineRule="auto"/>
        <w:rPr>
          <w:sz w:val="20"/>
          <w:szCs w:val="20"/>
          <w:color w:val="auto"/>
        </w:rPr>
      </w:pPr>
      <w:r>
        <w:rPr>
          <w:rFonts w:ascii="Times New Roman" w:cs="Times New Roman" w:eastAsia="Times New Roman" w:hAnsi="Times New Roman"/>
          <w:sz w:val="22"/>
          <w:szCs w:val="22"/>
          <w:color w:val="auto"/>
        </w:rPr>
        <w:t xml:space="preserve">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38" w:lineRule="exact"/>
        <w:rPr>
          <w:sz w:val="20"/>
          <w:szCs w:val="20"/>
          <w:color w:val="auto"/>
        </w:rPr>
      </w:pPr>
    </w:p>
    <w:p>
      <w:pPr>
        <w:jc w:val="both"/>
        <w:ind w:left="640" w:firstLine="1297"/>
        <w:spacing w:after="0" w:line="235" w:lineRule="auto"/>
        <w:tabs>
          <w:tab w:leader="none" w:pos="2582"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6(b), the “</w:t>
      </w:r>
      <w:r>
        <w:rPr>
          <w:rFonts w:ascii="Times New Roman" w:cs="Times New Roman" w:eastAsia="Times New Roman" w:hAnsi="Times New Roman"/>
          <w:sz w:val="22"/>
          <w:szCs w:val="22"/>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that could be obtained from deduction of such state and local taxes.</w:t>
      </w:r>
    </w:p>
    <w:p>
      <w:pPr>
        <w:spacing w:after="0" w:line="151" w:lineRule="exact"/>
        <w:rPr>
          <w:rFonts w:ascii="Times New Roman" w:cs="Times New Roman" w:eastAsia="Times New Roman" w:hAnsi="Times New Roman"/>
          <w:sz w:val="22"/>
          <w:szCs w:val="22"/>
          <w:color w:val="auto"/>
        </w:rPr>
      </w:pPr>
    </w:p>
    <w:p>
      <w:pPr>
        <w:jc w:val="both"/>
        <w:ind w:left="640" w:firstLine="1297"/>
        <w:spacing w:after="0" w:line="249" w:lineRule="auto"/>
        <w:tabs>
          <w:tab w:leader="none" w:pos="2581"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30" w:lineRule="exact"/>
        <w:rPr>
          <w:rFonts w:ascii="Times New Roman" w:cs="Times New Roman" w:eastAsia="Times New Roman" w:hAnsi="Times New Roman"/>
          <w:sz w:val="21"/>
          <w:szCs w:val="21"/>
          <w:color w:val="auto"/>
        </w:rPr>
      </w:pPr>
    </w:p>
    <w:p>
      <w:pPr>
        <w:ind w:right="580" w:firstLine="1288"/>
        <w:spacing w:after="0" w:line="258" w:lineRule="auto"/>
        <w:tabs>
          <w:tab w:leader="none" w:pos="194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6,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“Sale Event” as defined in the Company’s 2023 Stock Option and Incentive Plan.</w:t>
      </w:r>
    </w:p>
    <w:p>
      <w:pPr>
        <w:spacing w:after="0" w:line="117" w:lineRule="exact"/>
        <w:rPr>
          <w:rFonts w:ascii="Times New Roman" w:cs="Times New Roman" w:eastAsia="Times New Roman" w:hAnsi="Times New Roman"/>
          <w:sz w:val="22"/>
          <w:szCs w:val="22"/>
          <w:color w:val="auto"/>
        </w:rPr>
      </w:pPr>
    </w:p>
    <w:p>
      <w:pPr>
        <w:ind w:left="1280" w:hanging="640"/>
        <w:spacing w:after="0"/>
        <w:tabs>
          <w:tab w:leader="none" w:pos="12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b w:val="1"/>
          <w:bCs w:val="1"/>
          <w:color w:val="auto"/>
        </w:rPr>
      </w:pPr>
    </w:p>
    <w:p>
      <w:pPr>
        <w:jc w:val="both"/>
        <w:ind w:firstLine="1288"/>
        <w:spacing w:after="0" w:line="245" w:lineRule="auto"/>
        <w:tabs>
          <w:tab w:leader="none" w:pos="194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7" w:name="page38"/>
    <w:bookmarkEnd w:id="37"/>
    <w:p>
      <w:pPr>
        <w:jc w:val="both"/>
        <w:ind w:firstLine="1288"/>
        <w:spacing w:after="0" w:line="235" w:lineRule="auto"/>
        <w:tabs>
          <w:tab w:leader="none" w:pos="19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38" w:lineRule="exact"/>
        <w:rPr>
          <w:rFonts w:ascii="Times New Roman" w:cs="Times New Roman" w:eastAsia="Times New Roman" w:hAnsi="Times New Roman"/>
          <w:sz w:val="22"/>
          <w:szCs w:val="22"/>
          <w:color w:val="auto"/>
        </w:rPr>
      </w:pPr>
    </w:p>
    <w:p>
      <w:pPr>
        <w:jc w:val="both"/>
        <w:ind w:firstLine="1288"/>
        <w:spacing w:after="0" w:line="236" w:lineRule="auto"/>
        <w:tabs>
          <w:tab w:leader="none" w:pos="19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54" w:lineRule="exact"/>
        <w:rPr>
          <w:rFonts w:ascii="Times New Roman" w:cs="Times New Roman" w:eastAsia="Times New Roman" w:hAnsi="Times New Roman"/>
          <w:sz w:val="22"/>
          <w:szCs w:val="22"/>
          <w:color w:val="auto"/>
        </w:rPr>
      </w:pPr>
    </w:p>
    <w:p>
      <w:pPr>
        <w:jc w:val="both"/>
        <w:ind w:firstLine="1288"/>
        <w:spacing w:after="0" w:line="234" w:lineRule="auto"/>
        <w:tabs>
          <w:tab w:leader="none" w:pos="19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or an applicable exemption. To the extent that any provision of this Agreement is ambiguous as to its compliance with Section 409A of the Code, the provision shall be read in such a manner so that all payments hereunder either comply with or are exempt from Section 409A of the Code. Each payment pursuant to this Agreement or the Confidentiality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2" w:lineRule="exact"/>
        <w:rPr>
          <w:rFonts w:ascii="Times New Roman" w:cs="Times New Roman" w:eastAsia="Times New Roman" w:hAnsi="Times New Roman"/>
          <w:sz w:val="22"/>
          <w:szCs w:val="22"/>
          <w:color w:val="auto"/>
        </w:rPr>
      </w:pPr>
    </w:p>
    <w:p>
      <w:pPr>
        <w:jc w:val="both"/>
        <w:ind w:firstLine="1288"/>
        <w:spacing w:after="0" w:line="239" w:lineRule="auto"/>
        <w:tabs>
          <w:tab w:leader="none" w:pos="19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9" w:lineRule="exact"/>
        <w:rPr>
          <w:rFonts w:ascii="Times New Roman" w:cs="Times New Roman" w:eastAsia="Times New Roman" w:hAnsi="Times New Roman"/>
          <w:sz w:val="22"/>
          <w:szCs w:val="22"/>
          <w:color w:val="auto"/>
        </w:rPr>
      </w:pPr>
    </w:p>
    <w:p>
      <w:pPr>
        <w:ind w:left="1280" w:hanging="640"/>
        <w:spacing w:after="0"/>
        <w:tabs>
          <w:tab w:leader="none" w:pos="12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b w:val="1"/>
          <w:bCs w:val="1"/>
          <w:color w:val="auto"/>
        </w:rPr>
      </w:pPr>
    </w:p>
    <w:p>
      <w:pPr>
        <w:jc w:val="both"/>
        <w:ind w:firstLine="1288"/>
        <w:spacing w:after="0" w:line="236" w:lineRule="auto"/>
        <w:tabs>
          <w:tab w:leader="none" w:pos="194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Confidential Information and Inventions Assignment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condition of employment, the Executive is required to enter into the Employee Confidential Information and Inventions Assignment Agreement,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(the “</w:t>
      </w:r>
      <w:r>
        <w:rPr>
          <w:rFonts w:ascii="Times New Roman" w:cs="Times New Roman" w:eastAsia="Times New Roman" w:hAnsi="Times New Roman"/>
          <w:sz w:val="22"/>
          <w:szCs w:val="22"/>
          <w:b w:val="1"/>
          <w:bCs w:val="1"/>
          <w:u w:val="single" w:color="auto"/>
          <w:color w:val="auto"/>
        </w:rPr>
        <w:t>Confidentiality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Agreement, the obligations in this Section 8 and those that arise in the Confidentiality Agreement and any other agreement relating to confidentiality, assignment of inventions,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The Confidentiality Agreement includes a mutual arbitration provision.</w:t>
      </w:r>
    </w:p>
    <w:p>
      <w:pPr>
        <w:spacing w:after="0" w:line="152" w:lineRule="exact"/>
        <w:rPr>
          <w:rFonts w:ascii="Times New Roman" w:cs="Times New Roman" w:eastAsia="Times New Roman" w:hAnsi="Times New Roman"/>
          <w:sz w:val="22"/>
          <w:szCs w:val="22"/>
          <w:color w:val="auto"/>
        </w:rPr>
      </w:pPr>
    </w:p>
    <w:p>
      <w:pPr>
        <w:ind w:firstLine="1288"/>
        <w:spacing w:after="0" w:line="258" w:lineRule="auto"/>
        <w:tabs>
          <w:tab w:leader="none" w:pos="194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111" w:right="999" w:bottom="1440" w:gutter="0" w:footer="0" w:header="0"/>
        </w:sectPr>
      </w:pPr>
    </w:p>
    <w:bookmarkStart w:id="38" w:name="page39"/>
    <w:bookmarkEnd w:id="38"/>
    <w:p>
      <w:pPr>
        <w:jc w:val="both"/>
        <w:spacing w:after="0" w:line="234" w:lineRule="auto"/>
        <w:rPr>
          <w:sz w:val="20"/>
          <w:szCs w:val="20"/>
          <w:color w:val="auto"/>
        </w:rPr>
      </w:pPr>
      <w:r>
        <w:rPr>
          <w:rFonts w:ascii="Times New Roman" w:cs="Times New Roman" w:eastAsia="Times New Roman" w:hAnsi="Times New Roman"/>
          <w:sz w:val="22"/>
          <w:szCs w:val="22"/>
          <w:color w:val="auto"/>
        </w:rPr>
        <w:t>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43" w:lineRule="exact"/>
        <w:rPr>
          <w:sz w:val="20"/>
          <w:szCs w:val="20"/>
          <w:color w:val="auto"/>
        </w:rPr>
      </w:pPr>
    </w:p>
    <w:p>
      <w:pPr>
        <w:jc w:val="both"/>
        <w:ind w:firstLine="1288"/>
        <w:spacing w:after="0" w:line="232" w:lineRule="auto"/>
        <w:tabs>
          <w:tab w:leader="none" w:pos="194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 Nothing in this Agreement prevents Employee from exercising any rights Employee may have under Section 7 of the National Labor Relations Act, including, without limitation, discussing any labor issue, dispute or term or condition of employment as part of engaging in concerted activities for the purpose of mutual aid or protection.</w:t>
      </w:r>
    </w:p>
    <w:p>
      <w:pPr>
        <w:spacing w:after="0" w:line="162" w:lineRule="exact"/>
        <w:rPr>
          <w:rFonts w:ascii="Times New Roman" w:cs="Times New Roman" w:eastAsia="Times New Roman" w:hAnsi="Times New Roman"/>
          <w:sz w:val="22"/>
          <w:szCs w:val="22"/>
          <w:color w:val="auto"/>
        </w:rPr>
      </w:pPr>
    </w:p>
    <w:p>
      <w:pPr>
        <w:jc w:val="both"/>
        <w:ind w:firstLine="640"/>
        <w:spacing w:after="0" w:line="244" w:lineRule="auto"/>
        <w:tabs>
          <w:tab w:leader="none" w:pos="129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that the Equity Documents remain in full force and effect.</w:t>
      </w:r>
    </w:p>
    <w:p>
      <w:pPr>
        <w:spacing w:after="0" w:line="132" w:lineRule="exact"/>
        <w:rPr>
          <w:rFonts w:ascii="Times New Roman" w:cs="Times New Roman" w:eastAsia="Times New Roman" w:hAnsi="Times New Roman"/>
          <w:sz w:val="22"/>
          <w:szCs w:val="22"/>
          <w:b w:val="1"/>
          <w:bCs w:val="1"/>
          <w:color w:val="auto"/>
        </w:rPr>
      </w:pPr>
    </w:p>
    <w:p>
      <w:pPr>
        <w:jc w:val="both"/>
        <w:ind w:firstLine="640"/>
        <w:spacing w:after="0" w:line="238" w:lineRule="auto"/>
        <w:tabs>
          <w:tab w:leader="none" w:pos="129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36" w:lineRule="exact"/>
        <w:rPr>
          <w:rFonts w:ascii="Times New Roman" w:cs="Times New Roman" w:eastAsia="Times New Roman" w:hAnsi="Times New Roman"/>
          <w:sz w:val="22"/>
          <w:szCs w:val="22"/>
          <w:b w:val="1"/>
          <w:bCs w:val="1"/>
          <w:color w:val="auto"/>
        </w:rPr>
      </w:pPr>
    </w:p>
    <w:p>
      <w:pPr>
        <w:jc w:val="both"/>
        <w:ind w:firstLine="640"/>
        <w:spacing w:after="0" w:line="238" w:lineRule="auto"/>
        <w:tabs>
          <w:tab w:leader="none" w:pos="129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assign its rights and obligations under this Agreement (including the Confidentiality Agreement) without the Executive’s consent to any affiliate or to any person or entity with whom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2" w:right="999" w:bottom="1440" w:gutter="0" w:footer="0" w:header="0"/>
        </w:sectPr>
      </w:pPr>
    </w:p>
    <w:bookmarkStart w:id="39" w:name="page40"/>
    <w:bookmarkEnd w:id="3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hereafter effect a reorganization or consolidation, into which the Company merges or to whom it transfers all or substantially all of its properties or assets;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47" w:lineRule="exact"/>
        <w:rPr>
          <w:sz w:val="20"/>
          <w:szCs w:val="20"/>
          <w:color w:val="auto"/>
        </w:rPr>
      </w:pPr>
    </w:p>
    <w:p>
      <w:pPr>
        <w:jc w:val="both"/>
        <w:ind w:firstLine="640"/>
        <w:spacing w:after="0" w:line="236"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4" w:lineRule="exact"/>
        <w:rPr>
          <w:rFonts w:ascii="Times New Roman" w:cs="Times New Roman" w:eastAsia="Times New Roman" w:hAnsi="Times New Roman"/>
          <w:sz w:val="22"/>
          <w:szCs w:val="22"/>
          <w:b w:val="1"/>
          <w:bCs w:val="1"/>
          <w:color w:val="auto"/>
        </w:rPr>
      </w:pPr>
    </w:p>
    <w:p>
      <w:pPr>
        <w:jc w:val="both"/>
        <w:ind w:firstLine="640"/>
        <w:spacing w:after="0" w:line="244"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32" w:lineRule="exact"/>
        <w:rPr>
          <w:rFonts w:ascii="Times New Roman" w:cs="Times New Roman" w:eastAsia="Times New Roman" w:hAnsi="Times New Roman"/>
          <w:sz w:val="22"/>
          <w:szCs w:val="22"/>
          <w:b w:val="1"/>
          <w:bCs w:val="1"/>
          <w:color w:val="auto"/>
        </w:rPr>
      </w:pPr>
    </w:p>
    <w:p>
      <w:pPr>
        <w:jc w:val="both"/>
        <w:ind w:firstLine="640"/>
        <w:spacing w:after="0" w:line="239"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39" w:lineRule="exact"/>
        <w:rPr>
          <w:rFonts w:ascii="Times New Roman" w:cs="Times New Roman" w:eastAsia="Times New Roman" w:hAnsi="Times New Roman"/>
          <w:sz w:val="22"/>
          <w:szCs w:val="22"/>
          <w:b w:val="1"/>
          <w:bCs w:val="1"/>
          <w:color w:val="auto"/>
        </w:rPr>
      </w:pPr>
    </w:p>
    <w:p>
      <w:pPr>
        <w:ind w:firstLine="640"/>
        <w:spacing w:after="0" w:line="258"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deemed delivered upon the confirmation of delivery or of actual receipt by the addressee and shall be sent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12" w:right="999" w:bottom="1440" w:gutter="0" w:footer="0" w:header="0"/>
        </w:sectPr>
      </w:pPr>
    </w:p>
    <w:bookmarkStart w:id="40" w:name="page41"/>
    <w:bookmarkEnd w:id="40"/>
    <w:p>
      <w:pPr>
        <w:ind w:left="128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166" w:lineRule="exact"/>
        <w:rPr>
          <w:sz w:val="20"/>
          <w:szCs w:val="20"/>
          <w:color w:val="auto"/>
        </w:rPr>
      </w:pPr>
    </w:p>
    <w:p>
      <w:pPr>
        <w:ind w:left="1280"/>
        <w:spacing w:after="0" w:line="258" w:lineRule="auto"/>
        <w:rPr>
          <w:sz w:val="20"/>
          <w:szCs w:val="20"/>
          <w:color w:val="auto"/>
        </w:rPr>
      </w:pPr>
      <w:r>
        <w:rPr>
          <w:rFonts w:ascii="Times New Roman" w:cs="Times New Roman" w:eastAsia="Times New Roman" w:hAnsi="Times New Roman"/>
          <w:sz w:val="22"/>
          <w:szCs w:val="22"/>
          <w:color w:val="auto"/>
        </w:rPr>
        <w:t>the Executive’s residential address or personal email address as either appears in the Company systems at the time of notice or the Executive ’s Company email address</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and if to the Company:</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CEO</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Sagimet Biosciences Inc.</w:t>
      </w:r>
    </w:p>
    <w:p>
      <w:pPr>
        <w:ind w:left="1280"/>
        <w:spacing w:after="0" w:line="230" w:lineRule="auto"/>
        <w:rPr>
          <w:sz w:val="20"/>
          <w:szCs w:val="20"/>
          <w:color w:val="auto"/>
        </w:rPr>
      </w:pPr>
      <w:r>
        <w:rPr>
          <w:rFonts w:ascii="Times New Roman" w:cs="Times New Roman" w:eastAsia="Times New Roman" w:hAnsi="Times New Roman"/>
          <w:sz w:val="22"/>
          <w:szCs w:val="22"/>
          <w:color w:val="auto"/>
        </w:rPr>
        <w:t>155 Bovet Road, Ste. 303</w:t>
      </w:r>
    </w:p>
    <w:p>
      <w:pPr>
        <w:ind w:left="1280"/>
        <w:spacing w:after="0" w:line="231" w:lineRule="auto"/>
        <w:rPr>
          <w:sz w:val="20"/>
          <w:szCs w:val="20"/>
          <w:color w:val="auto"/>
        </w:rPr>
      </w:pPr>
      <w:r>
        <w:rPr>
          <w:rFonts w:ascii="Times New Roman" w:cs="Times New Roman" w:eastAsia="Times New Roman" w:hAnsi="Times New Roman"/>
          <w:sz w:val="22"/>
          <w:szCs w:val="22"/>
          <w:color w:val="auto"/>
        </w:rPr>
        <w:t>San Mateo, CA 94402</w:t>
      </w:r>
    </w:p>
    <w:p>
      <w:pPr>
        <w:ind w:left="1280"/>
        <w:spacing w:after="0"/>
        <w:rPr>
          <w:sz w:val="20"/>
          <w:szCs w:val="20"/>
          <w:color w:val="auto"/>
        </w:rPr>
      </w:pPr>
      <w:r>
        <w:rPr>
          <w:rFonts w:ascii="Times New Roman" w:cs="Times New Roman" w:eastAsia="Times New Roman" w:hAnsi="Times New Roman"/>
          <w:sz w:val="22"/>
          <w:szCs w:val="22"/>
          <w:color w:val="auto"/>
        </w:rPr>
        <w:t>dave.happel@sagimet.com</w:t>
      </w:r>
    </w:p>
    <w:p>
      <w:pPr>
        <w:spacing w:after="0" w:line="1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to such other address and/or person designated by a party in writing and in the same manner to the other party. Any written notice required to be provided by or to the Executive under this Agreement may be provided by or to such representative or representatives as the Executive may designate by written notice to the Company.</w:t>
      </w:r>
    </w:p>
    <w:p>
      <w:pPr>
        <w:spacing w:after="0" w:line="153" w:lineRule="exact"/>
        <w:rPr>
          <w:sz w:val="20"/>
          <w:szCs w:val="20"/>
          <w:color w:val="auto"/>
        </w:rPr>
      </w:pPr>
    </w:p>
    <w:p>
      <w:pPr>
        <w:ind w:firstLine="640"/>
        <w:spacing w:after="0" w:line="258" w:lineRule="auto"/>
        <w:tabs>
          <w:tab w:leader="none" w:pos="129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 other than Executive.</w:t>
      </w:r>
    </w:p>
    <w:p>
      <w:pPr>
        <w:spacing w:after="0" w:line="117" w:lineRule="exact"/>
        <w:rPr>
          <w:rFonts w:ascii="Times New Roman" w:cs="Times New Roman" w:eastAsia="Times New Roman" w:hAnsi="Times New Roman"/>
          <w:sz w:val="22"/>
          <w:szCs w:val="22"/>
          <w:b w:val="1"/>
          <w:bCs w:val="1"/>
          <w:color w:val="auto"/>
        </w:rPr>
      </w:pPr>
    </w:p>
    <w:p>
      <w:pPr>
        <w:jc w:val="both"/>
        <w:ind w:firstLine="640"/>
        <w:spacing w:after="0" w:line="233" w:lineRule="auto"/>
        <w:tabs>
          <w:tab w:leader="none" w:pos="129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46" w:lineRule="exact"/>
        <w:rPr>
          <w:rFonts w:ascii="Times New Roman" w:cs="Times New Roman" w:eastAsia="Times New Roman" w:hAnsi="Times New Roman"/>
          <w:sz w:val="22"/>
          <w:szCs w:val="22"/>
          <w:b w:val="1"/>
          <w:bCs w:val="1"/>
          <w:color w:val="auto"/>
        </w:rPr>
      </w:pPr>
    </w:p>
    <w:p>
      <w:pPr>
        <w:ind w:firstLine="640"/>
        <w:spacing w:after="0" w:line="258" w:lineRule="auto"/>
        <w:tabs>
          <w:tab w:leader="none" w:pos="129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California contract and shall be construed under and be governed in all respects by the laws of California, without giving effect to the conflict of laws principles thereof.</w:t>
      </w:r>
    </w:p>
    <w:p>
      <w:pPr>
        <w:spacing w:after="0" w:line="131" w:lineRule="exact"/>
        <w:rPr>
          <w:rFonts w:ascii="Times New Roman" w:cs="Times New Roman" w:eastAsia="Times New Roman" w:hAnsi="Times New Roman"/>
          <w:sz w:val="22"/>
          <w:szCs w:val="22"/>
          <w:b w:val="1"/>
          <w:bCs w:val="1"/>
          <w:color w:val="auto"/>
        </w:rPr>
      </w:pPr>
    </w:p>
    <w:p>
      <w:pPr>
        <w:jc w:val="both"/>
        <w:ind w:firstLine="640"/>
        <w:spacing w:after="0" w:line="239" w:lineRule="auto"/>
        <w:tabs>
          <w:tab w:leader="none" w:pos="129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Notwithstanding anything to the contrary herein, the effectiveness of this Agreement shall be conditioned on (i) the Executive’s satisfactory completion of reference and background checks, if so requested by the Company. If the foregoing is not satisfactorily completed, Executive’s employment will terminate for Cause.</w:t>
      </w:r>
    </w:p>
    <w:p>
      <w:pPr>
        <w:spacing w:after="0" w:line="139" w:lineRule="exact"/>
        <w:rPr>
          <w:rFonts w:ascii="Times New Roman" w:cs="Times New Roman" w:eastAsia="Times New Roman" w:hAnsi="Times New Roman"/>
          <w:sz w:val="22"/>
          <w:szCs w:val="22"/>
          <w:b w:val="1"/>
          <w:bCs w:val="1"/>
          <w:color w:val="auto"/>
        </w:rPr>
      </w:pPr>
    </w:p>
    <w:p>
      <w:pPr>
        <w:ind w:firstLine="640"/>
        <w:spacing w:after="0" w:line="258" w:lineRule="auto"/>
        <w:tabs>
          <w:tab w:leader="none" w:pos="129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electronic signature (including but not limited to DocuSign), each of which when so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2" w:right="999"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22"/>
          <w:szCs w:val="22"/>
          <w:color w:val="auto"/>
        </w:rPr>
        <w:t>and delivered shall be taken to be an original; but such counterparts shall together constitute one and the same document.</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on the Effective Date.</w:t>
      </w:r>
    </w:p>
    <w:p>
      <w:pPr>
        <w:spacing w:after="0" w:line="2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/s/ David Happel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17145</wp:posOffset>
            </wp:positionV>
            <wp:extent cx="29317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14605</wp:posOffset>
            </wp:positionV>
            <wp:extent cx="2931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Andreas Grauer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17145</wp:posOffset>
            </wp:positionV>
            <wp:extent cx="3137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Andreas Grauer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1320" w:top="112" w:right="10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Happel,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Quarterly Period Ended March 31, 2026 of Sagimet Biosciences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David Happel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David Happel</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Thierry Chauche,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Quarterly Period Ended March 31, 2026 of Sagimet Biosciences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Thierry Chauche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Thierry Chauche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4" w:name="page45"/>
    <w:bookmarkEnd w:id="44"/>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Sagimet Biosciences Inc. (the “Company”) for the quarterly period ended March 31, 2026 as filed with the Securities and Exchange Commission on the date hereof (the “Report”), the undersigned hereby certify, pursuant to 18 U.S.C. § 1350, as adopted pursuant to § 906 of the Sarbanes-Oxley Act of 2002, that, to the best of their knowledge:</w:t>
      </w:r>
    </w:p>
    <w:p>
      <w:pPr>
        <w:spacing w:after="0" w:line="158" w:lineRule="exact"/>
        <w:rPr>
          <w:sz w:val="20"/>
          <w:szCs w:val="20"/>
          <w:color w:val="auto"/>
        </w:rPr>
      </w:pPr>
    </w:p>
    <w:p>
      <w:pPr>
        <w:ind w:left="880" w:right="600" w:hanging="480"/>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880" w:right="640" w:hanging="480"/>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4960" w:val="left"/>
          <w:tab w:leader="none" w:pos="69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David Happel</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4960" w:val="left"/>
          <w:tab w:leader="none" w:pos="68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Thierry Chauche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Thierry Chauche</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8"/>
    </w:lvl>
  </w:abstractNum>
  <w:abstractNum w:abstractNumId="14">
    <w:nsid w:val="737B8DDC"/>
    <w:multiLevelType w:val="hybridMultilevel"/>
    <w:lvl w:ilvl="0">
      <w:lvlJc w:val="left"/>
      <w:lvlText w:val="%1"/>
      <w:numFmt w:val="decimal"/>
      <w:start w:val="1"/>
    </w:lvl>
    <w:lvl w:ilvl="1">
      <w:lvlJc w:val="left"/>
      <w:lvlText w:val="(%2)"/>
      <w:numFmt w:val="decimal"/>
      <w:start w:val="1"/>
    </w:lvl>
  </w:abstractNum>
  <w:abstractNum w:abstractNumId="15">
    <w:nsid w:val="6CEAF087"/>
    <w:multiLevelType w:val="hybridMultilevel"/>
    <w:lvl w:ilvl="0">
      <w:lvlJc w:val="left"/>
      <w:lvlText w:val="%1."/>
      <w:numFmt w:val="decimal"/>
      <w:start w:val="9"/>
    </w:lvl>
    <w:lvl w:ilvl="1">
      <w:lvlJc w:val="left"/>
      <w:lvlText w:val="%2"/>
      <w:numFmt w:val="decimal"/>
      <w:start w:val="1"/>
    </w:lvl>
  </w:abstractNum>
  <w:abstractNum w:abstractNumId="16">
    <w:nsid w:val="22221A70"/>
    <w:multiLevelType w:val="hybridMultilevel"/>
    <w:lvl w:ilvl="0">
      <w:lvlJc w:val="left"/>
      <w:lvlText w:val="%1."/>
      <w:numFmt w:val="decimal"/>
      <w:start w:val="24"/>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Roman"/>
      <w:start w:val="1"/>
    </w:lvl>
  </w:abstractNum>
  <w:abstractNum w:abstractNumId="22">
    <w:nsid w:val="440BADFC"/>
    <w:multiLevelType w:val="hybridMultilevel"/>
    <w:lvl w:ilvl="0">
      <w:lvlJc w:val="left"/>
      <w:lvlText w:val="%1."/>
      <w:numFmt w:val="decimal"/>
      <w:start w:val="1"/>
    </w:lvl>
    <w:lvl w:ilvl="1">
      <w:lvlJc w:val="left"/>
      <w:lvlText w:val="(%2)"/>
      <w:numFmt w:val="lowerLetter"/>
      <w:start w:val="1"/>
    </w:lvl>
  </w:abstractNum>
  <w:abstractNum w:abstractNumId="23">
    <w:nsid w:val="5072367"/>
    <w:multiLevelType w:val="hybridMultilevel"/>
    <w:lvl w:ilvl="0">
      <w:lvlJc w:val="left"/>
      <w:lvlText w:val="%1"/>
      <w:numFmt w:val="decimal"/>
      <w:start w:val="1"/>
    </w:lvl>
    <w:lvl w:ilvl="1">
      <w:lvlJc w:val="left"/>
      <w:lvlText w:val="(%2)"/>
      <w:numFmt w:val="lowerLetter"/>
      <w:start w:val="2"/>
    </w:lvl>
  </w:abstractNum>
  <w:abstractNum w:abstractNumId="24">
    <w:nsid w:val="3804823E"/>
    <w:multiLevelType w:val="hybridMultilevel"/>
    <w:lvl w:ilvl="0">
      <w:lvlJc w:val="left"/>
      <w:lvlText w:val="%1."/>
      <w:numFmt w:val="decimal"/>
      <w:start w:val="3"/>
    </w:lvl>
    <w:lvl w:ilvl="1">
      <w:lvlJc w:val="left"/>
      <w:lvlText w:val="(%2)"/>
      <w:numFmt w:val="lowerLetter"/>
      <w:start w:val="1"/>
    </w:lvl>
  </w:abstractNum>
  <w:abstractNum w:abstractNumId="25">
    <w:nsid w:val="77465F01"/>
    <w:multiLevelType w:val="hybridMultilevel"/>
    <w:lvl w:ilvl="0">
      <w:lvlJc w:val="left"/>
      <w:lvlText w:val="(%1)"/>
      <w:numFmt w:val="lowerLetter"/>
      <w:start w:val="2"/>
    </w:lvl>
    <w:lvl w:ilvl="1">
      <w:lvlJc w:val="left"/>
      <w:lvlText w:val="(%2)"/>
      <w:numFmt w:val="lowerRoman"/>
      <w:start w:val="1"/>
    </w:lvl>
  </w:abstractNum>
  <w:abstractNum w:abstractNumId="26">
    <w:nsid w:val="7724C67E"/>
    <w:multiLevelType w:val="hybridMultilevel"/>
    <w:lvl w:ilvl="0">
      <w:lvlJc w:val="left"/>
      <w:lvlText w:val="%1"/>
      <w:numFmt w:val="lowerLetter"/>
      <w:start w:val="1"/>
    </w:lvl>
    <w:lvl w:ilvl="1">
      <w:lvlJc w:val="left"/>
      <w:lvlText w:val="(%2)"/>
      <w:numFmt w:val="lowerRoman"/>
      <w:start w:val="8"/>
    </w:lvl>
  </w:abstractNum>
  <w:abstractNum w:abstractNumId="27">
    <w:nsid w:val="5C482A97"/>
    <w:multiLevelType w:val="hybridMultilevel"/>
    <w:lvl w:ilvl="0">
      <w:lvlJc w:val="left"/>
      <w:lvlText w:val="(%1)"/>
      <w:numFmt w:val="lowerLetter"/>
      <w:start w:val="4"/>
    </w:lvl>
    <w:lvl w:ilvl="1">
      <w:lvlJc w:val="left"/>
      <w:lvlText w:val="(%2)"/>
      <w:numFmt w:val="lowerRoman"/>
      <w:start w:val="1"/>
    </w:lvl>
  </w:abstractNum>
  <w:abstractNum w:abstractNumId="28">
    <w:nsid w:val="2463B9EA"/>
    <w:multiLevelType w:val="hybridMultilevel"/>
    <w:lvl w:ilvl="0">
      <w:lvlJc w:val="left"/>
      <w:lvlText w:val="%1"/>
      <w:numFmt w:val="lowerLetter"/>
      <w:start w:val="1"/>
    </w:lvl>
    <w:lvl w:ilvl="1">
      <w:lvlJc w:val="left"/>
      <w:lvlText w:val="(%2)"/>
      <w:numFmt w:val="lowerRoman"/>
      <w:start w:val="1"/>
    </w:lvl>
  </w:abstractNum>
  <w:abstractNum w:abstractNumId="29">
    <w:nsid w:val="5E884ADC"/>
    <w:multiLevelType w:val="hybridMultilevel"/>
    <w:lvl w:ilvl="0">
      <w:lvlJc w:val="left"/>
      <w:lvlText w:val="(%1)"/>
      <w:numFmt w:val="lowerLetter"/>
      <w:start w:val="3"/>
    </w:lvl>
    <w:lvl w:ilvl="1">
      <w:lvlJc w:val="left"/>
      <w:lvlText w:val="(%2)"/>
      <w:numFmt w:val="lowerRoman"/>
      <w:start w:val="3"/>
    </w:lvl>
  </w:abstractNum>
  <w:abstractNum w:abstractNumId="30">
    <w:nsid w:val="51EAD36B"/>
    <w:multiLevelType w:val="hybridMultilevel"/>
    <w:lvl w:ilvl="0">
      <w:lvlJc w:val="left"/>
      <w:lvlText w:val="%1."/>
      <w:numFmt w:val="decimal"/>
      <w:start w:val="4"/>
    </w:lvl>
    <w:lvl w:ilvl="1">
      <w:lvlJc w:val="left"/>
      <w:lvlText w:val="(%2)"/>
      <w:numFmt w:val="lowerLetter"/>
      <w:start w:val="1"/>
    </w:lvl>
  </w:abstractNum>
  <w:abstractNum w:abstractNumId="31">
    <w:nsid w:val="2D517796"/>
    <w:multiLevelType w:val="hybridMultilevel"/>
    <w:lvl w:ilvl="0">
      <w:lvlJc w:val="left"/>
      <w:lvlText w:val="%1"/>
      <w:numFmt w:val="decimal"/>
      <w:start w:val="1"/>
    </w:lvl>
    <w:lvl w:ilvl="1">
      <w:lvlJc w:val="left"/>
      <w:lvlText w:val="(%2)"/>
      <w:numFmt w:val="lowerLetter"/>
      <w:start w:val="4"/>
    </w:lvl>
  </w:abstractNum>
  <w:abstractNum w:abstractNumId="32">
    <w:nsid w:val="580BD78F"/>
    <w:multiLevelType w:val="hybridMultilevel"/>
    <w:lvl w:ilvl="0">
      <w:lvlJc w:val="left"/>
      <w:lvlText w:val="%1."/>
      <w:numFmt w:val="decimal"/>
      <w:start w:val="5"/>
    </w:lvl>
    <w:lvl w:ilvl="1">
      <w:lvlJc w:val="left"/>
      <w:lvlText w:val="(%2)"/>
      <w:numFmt w:val="lowerLetter"/>
      <w:start w:val="1"/>
    </w:lvl>
  </w:abstractNum>
  <w:abstractNum w:abstractNumId="33">
    <w:nsid w:val="153EA43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
    <w:nsid w:val="3855585C"/>
    <w:multiLevelType w:val="hybridMultilevel"/>
    <w:lvl w:ilvl="0">
      <w:lvlJc w:val="left"/>
      <w:lvlText w:val="(%1)"/>
      <w:numFmt w:val="lowerRoman"/>
      <w:start w:val="3"/>
    </w:lvl>
  </w:abstractNum>
  <w:abstractNum w:abstractNumId="35">
    <w:nsid w:val="70A64E2A"/>
    <w:multiLevelType w:val="hybridMultilevel"/>
    <w:lvl w:ilvl="0">
      <w:lvlJc w:val="left"/>
      <w:lvlText w:val="(%1)"/>
      <w:numFmt w:val="lowerLetter"/>
      <w:start w:val="2"/>
    </w:lvl>
    <w:lvl w:ilvl="1">
      <w:lvlJc w:val="left"/>
      <w:lvlText w:val="(%2)"/>
      <w:numFmt w:val="lowerLetter"/>
      <w:start w:val="9"/>
    </w:lvl>
  </w:abstractNum>
  <w:abstractNum w:abstractNumId="36">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2A487CB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725A06FB"/>
    <w:multiLevelType w:val="hybridMultilevel"/>
    <w:lvl w:ilvl="0">
      <w:lvlJc w:val="left"/>
      <w:lvlText w:val="%1"/>
      <w:numFmt w:val="decimal"/>
      <w:start w:val="1"/>
    </w:lvl>
    <w:lvl w:ilvl="1">
      <w:lvlJc w:val="left"/>
      <w:lvlText w:val="(%2)"/>
      <w:numFmt w:val="lowerLetter"/>
      <w:start w:val="2"/>
    </w:lvl>
  </w:abstractNum>
  <w:abstractNum w:abstractNumId="40">
    <w:nsid w:val="2CD89A32"/>
    <w:multiLevelType w:val="hybridMultilevel"/>
    <w:lvl w:ilvl="0">
      <w:lvlJc w:val="left"/>
      <w:lvlText w:val="%1."/>
      <w:numFmt w:val="decimal"/>
      <w:start w:val="8"/>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3"/>
    </w:lvl>
  </w:abstractNum>
  <w:abstractNum w:abstractNumId="42">
    <w:nsid w:val="7A6D8D3C"/>
    <w:multiLevelType w:val="hybridMultilevel"/>
    <w:lvl w:ilvl="0">
      <w:lvlJc w:val="left"/>
      <w:lvlText w:val="%1."/>
      <w:numFmt w:val="decimal"/>
      <w:start w:val="9"/>
    </w:lvl>
    <w:lvl w:ilvl="1">
      <w:lvlJc w:val="left"/>
      <w:lvlText w:val="%2"/>
      <w:numFmt w:val="lowerLetter"/>
      <w:start w:val="1"/>
    </w:lvl>
  </w:abstractNum>
  <w:abstractNum w:abstractNumId="43">
    <w:nsid w:val="4B588F54"/>
    <w:multiLevelType w:val="hybridMultilevel"/>
    <w:lvl w:ilvl="0">
      <w:lvlJc w:val="left"/>
      <w:lvlText w:val="%1."/>
      <w:numFmt w:val="decimal"/>
      <w:start w:val="12"/>
    </w:lvl>
  </w:abstractNum>
  <w:abstractNum w:abstractNumId="44">
    <w:nsid w:val="542289EC"/>
    <w:multiLevelType w:val="hybridMultilevel"/>
    <w:lvl w:ilvl="0">
      <w:lvlJc w:val="left"/>
      <w:lvlText w:val="%1."/>
      <w:numFmt w:val="decimal"/>
      <w:start w:val="16"/>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2026-05-12T06:33:49Z</dcterms:created>
  <dcterms:modified xsi:type="dcterms:W3CDTF">2026-05-12T06:33:49Z</dcterms:modified>
</cp:coreProperties>
</file>